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8B2" w:rsidRPr="001C58B2" w:rsidRDefault="001C58B2" w:rsidP="001C58B2">
      <w:pPr>
        <w:shd w:val="clear" w:color="auto" w:fill="FFFFFF"/>
        <w:spacing w:after="0" w:line="240" w:lineRule="auto"/>
        <w:jc w:val="center"/>
        <w:textAlignment w:val="baseline"/>
        <w:rPr>
          <w:rFonts w:ascii="Times New Roman" w:eastAsia="Times New Roman" w:hAnsi="Times New Roman" w:cs="Times New Roman"/>
          <w:caps/>
          <w:color w:val="000000"/>
          <w:sz w:val="24"/>
          <w:szCs w:val="24"/>
          <w:lang w:eastAsia="it-IT"/>
        </w:rPr>
      </w:pPr>
      <w:r w:rsidRPr="001C58B2">
        <w:rPr>
          <w:rFonts w:ascii="Times New Roman" w:eastAsia="Times New Roman" w:hAnsi="Times New Roman" w:cs="Times New Roman"/>
          <w:caps/>
          <w:color w:val="000000"/>
          <w:sz w:val="24"/>
          <w:szCs w:val="24"/>
          <w:lang w:eastAsia="it-IT"/>
        </w:rPr>
        <w:t>N. 135</w:t>
      </w:r>
    </w:p>
    <w:p w:rsidR="001C58B2" w:rsidRPr="001C58B2" w:rsidRDefault="001C58B2" w:rsidP="001C58B2">
      <w:pPr>
        <w:shd w:val="clear" w:color="auto" w:fill="FFFFFF"/>
        <w:spacing w:after="0" w:line="240" w:lineRule="auto"/>
        <w:jc w:val="center"/>
        <w:textAlignment w:val="baseline"/>
        <w:rPr>
          <w:rFonts w:ascii="Times New Roman" w:eastAsia="Times New Roman" w:hAnsi="Times New Roman" w:cs="Times New Roman"/>
          <w:caps/>
          <w:color w:val="000000"/>
          <w:sz w:val="36"/>
          <w:szCs w:val="36"/>
          <w:lang w:eastAsia="it-IT"/>
        </w:rPr>
      </w:pPr>
      <w:r w:rsidRPr="001C58B2">
        <w:rPr>
          <w:rFonts w:ascii="Times New Roman" w:eastAsia="Times New Roman" w:hAnsi="Times New Roman" w:cs="Times New Roman"/>
          <w:caps/>
          <w:color w:val="000000"/>
          <w:sz w:val="36"/>
          <w:szCs w:val="36"/>
          <w:lang w:eastAsia="it-IT"/>
        </w:rPr>
        <w:t>SENTENZA 9 - 24 APRILE 2003</w:t>
      </w:r>
    </w:p>
    <w:p w:rsidR="001C58B2" w:rsidRPr="001C58B2" w:rsidRDefault="001C58B2" w:rsidP="001C58B2">
      <w:pPr>
        <w:shd w:val="clear" w:color="auto" w:fill="FFFFFF"/>
        <w:spacing w:before="567" w:after="284" w:line="240" w:lineRule="auto"/>
        <w:jc w:val="center"/>
        <w:textAlignment w:val="baseline"/>
        <w:rPr>
          <w:rFonts w:ascii="Times New Roman" w:eastAsia="Times New Roman" w:hAnsi="Times New Roman" w:cs="Times New Roman"/>
          <w:caps/>
          <w:color w:val="000000"/>
          <w:sz w:val="24"/>
          <w:szCs w:val="24"/>
          <w:lang w:eastAsia="it-IT"/>
        </w:rPr>
      </w:pPr>
      <w:r w:rsidRPr="001C58B2">
        <w:rPr>
          <w:rFonts w:ascii="Times New Roman" w:eastAsia="Times New Roman" w:hAnsi="Times New Roman" w:cs="Times New Roman"/>
          <w:caps/>
          <w:color w:val="000000"/>
          <w:sz w:val="24"/>
          <w:szCs w:val="24"/>
          <w:lang w:eastAsia="it-IT"/>
        </w:rPr>
        <w:t>LA CORTE COSTITUZIONALE</w:t>
      </w:r>
    </w:p>
    <w:p w:rsidR="001C58B2" w:rsidRPr="001C58B2" w:rsidRDefault="001C58B2" w:rsidP="001C58B2">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it-IT"/>
        </w:rPr>
      </w:pPr>
      <w:r w:rsidRPr="001C58B2">
        <w:rPr>
          <w:rFonts w:ascii="Times New Roman" w:eastAsia="Times New Roman" w:hAnsi="Times New Roman" w:cs="Times New Roman"/>
          <w:color w:val="000000"/>
          <w:sz w:val="24"/>
          <w:szCs w:val="24"/>
          <w:lang w:eastAsia="it-IT"/>
        </w:rPr>
        <w:t>composta dai signori: Presidente: Riccardo CHIEPPA; Giudici: Gustavo ZAGREBELSKY, Valerio ONIDA, Carlo MEZZANOTTE, Fernanda CONTRI, Guido NEPPI MODONA, Piero Alberto CAPOTOSTI, Annibale MARINI, Franco BILE, Giovanni Maria FLICK, Ugo DE SIERVO, Romano VACCARELLA, Alfio FINOCCHIARO,</w:t>
      </w:r>
    </w:p>
    <w:p w:rsidR="001C58B2" w:rsidRPr="001C58B2" w:rsidRDefault="001C58B2" w:rsidP="001C58B2">
      <w:pPr>
        <w:spacing w:after="0" w:line="240" w:lineRule="auto"/>
        <w:rPr>
          <w:rFonts w:ascii="Times New Roman" w:eastAsia="Times New Roman" w:hAnsi="Times New Roman" w:cs="Times New Roman"/>
          <w:sz w:val="24"/>
          <w:szCs w:val="24"/>
          <w:lang w:eastAsia="it-IT"/>
        </w:rPr>
      </w:pPr>
    </w:p>
    <w:p w:rsidR="001C58B2" w:rsidRPr="001C58B2" w:rsidRDefault="001C58B2" w:rsidP="001C58B2">
      <w:pPr>
        <w:shd w:val="clear" w:color="auto" w:fill="FFFFFF"/>
        <w:spacing w:before="284" w:after="0" w:line="240" w:lineRule="auto"/>
        <w:jc w:val="both"/>
        <w:textAlignment w:val="baseline"/>
        <w:rPr>
          <w:rFonts w:ascii="Times New Roman" w:eastAsia="Times New Roman" w:hAnsi="Times New Roman" w:cs="Times New Roman"/>
          <w:color w:val="000000"/>
          <w:sz w:val="24"/>
          <w:szCs w:val="24"/>
          <w:lang w:eastAsia="it-IT"/>
        </w:rPr>
      </w:pPr>
      <w:r w:rsidRPr="001C58B2">
        <w:rPr>
          <w:rFonts w:ascii="Times New Roman" w:eastAsia="Times New Roman" w:hAnsi="Times New Roman" w:cs="Times New Roman"/>
          <w:color w:val="000000"/>
          <w:sz w:val="24"/>
          <w:szCs w:val="24"/>
          <w:lang w:eastAsia="it-IT"/>
        </w:rPr>
        <w:t>ha pronunciato la seguente</w:t>
      </w:r>
    </w:p>
    <w:p w:rsidR="001C58B2" w:rsidRPr="001C58B2" w:rsidRDefault="001C58B2" w:rsidP="001C58B2">
      <w:pPr>
        <w:shd w:val="clear" w:color="auto" w:fill="FFFFFF"/>
        <w:spacing w:after="170" w:line="240" w:lineRule="auto"/>
        <w:jc w:val="center"/>
        <w:textAlignment w:val="baseline"/>
        <w:rPr>
          <w:rFonts w:ascii="Times New Roman" w:eastAsia="Times New Roman" w:hAnsi="Times New Roman" w:cs="Times New Roman"/>
          <w:caps/>
          <w:color w:val="000000"/>
          <w:sz w:val="24"/>
          <w:szCs w:val="24"/>
          <w:lang w:eastAsia="it-IT"/>
        </w:rPr>
      </w:pPr>
      <w:r w:rsidRPr="001C58B2">
        <w:rPr>
          <w:rFonts w:ascii="Times New Roman" w:eastAsia="Times New Roman" w:hAnsi="Times New Roman" w:cs="Times New Roman"/>
          <w:caps/>
          <w:color w:val="000000"/>
          <w:sz w:val="24"/>
          <w:szCs w:val="24"/>
          <w:lang w:eastAsia="it-IT"/>
        </w:rPr>
        <w:t>SENTENZA</w:t>
      </w:r>
    </w:p>
    <w:p w:rsidR="001C58B2" w:rsidRPr="001C58B2" w:rsidRDefault="001C58B2" w:rsidP="001C58B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1C58B2">
        <w:rPr>
          <w:rFonts w:ascii="Times New Roman" w:eastAsia="Times New Roman" w:hAnsi="Times New Roman" w:cs="Times New Roman"/>
          <w:color w:val="000000"/>
          <w:sz w:val="24"/>
          <w:szCs w:val="24"/>
          <w:lang w:eastAsia="it-IT"/>
        </w:rPr>
        <w:t>nel giudizio di legittimità costituzionale dell'art. 4-</w:t>
      </w:r>
      <w:r w:rsidRPr="001C58B2">
        <w:rPr>
          <w:rFonts w:ascii="inherit" w:eastAsia="Times New Roman" w:hAnsi="inherit" w:cs="Times New Roman"/>
          <w:i/>
          <w:iCs/>
          <w:color w:val="000000"/>
          <w:sz w:val="24"/>
          <w:szCs w:val="24"/>
          <w:bdr w:val="none" w:sz="0" w:space="0" w:color="auto" w:frame="1"/>
          <w:lang w:eastAsia="it-IT"/>
        </w:rPr>
        <w:t>bis</w:t>
      </w:r>
      <w:r w:rsidRPr="001C58B2">
        <w:rPr>
          <w:rFonts w:ascii="Times New Roman" w:eastAsia="Times New Roman" w:hAnsi="Times New Roman" w:cs="Times New Roman"/>
          <w:color w:val="000000"/>
          <w:sz w:val="24"/>
          <w:szCs w:val="24"/>
          <w:lang w:eastAsia="it-IT"/>
        </w:rPr>
        <w:t>, comma 1, primo periodo, della legge 26 luglio 1975, n. 354 (Norme sull'ordinamento penitenziario e sulla esecuzione delle misure privative e limitative della libertà), come modificato dal decreto-legge 8 giugno 1992, n. 306, convertito nella legge 7 agosto 1992, n. 356, promosso, nell'ambito di un procedimento di sorveglianza, dal Tribunale di sorveglianza di Firenze con ordinanza del 6 marzo 2002, iscritta al n. 502 del registro ordinanze 2002 e pubblicata nella</w:t>
      </w:r>
      <w:r w:rsidRPr="001C58B2">
        <w:rPr>
          <w:rFonts w:ascii="inherit" w:eastAsia="Times New Roman" w:hAnsi="inherit" w:cs="Times New Roman"/>
          <w:i/>
          <w:iCs/>
          <w:color w:val="000000"/>
          <w:sz w:val="24"/>
          <w:szCs w:val="24"/>
          <w:bdr w:val="none" w:sz="0" w:space="0" w:color="auto" w:frame="1"/>
          <w:lang w:eastAsia="it-IT"/>
        </w:rPr>
        <w:t> Gazzetta Ufficiale</w:t>
      </w:r>
      <w:r w:rsidRPr="001C58B2">
        <w:rPr>
          <w:rFonts w:ascii="Times New Roman" w:eastAsia="Times New Roman" w:hAnsi="Times New Roman" w:cs="Times New Roman"/>
          <w:color w:val="000000"/>
          <w:sz w:val="24"/>
          <w:szCs w:val="24"/>
          <w:lang w:eastAsia="it-IT"/>
        </w:rPr>
        <w:t> della Repubblica n. 47, prima serie speciale, dell'anno 2002.</w:t>
      </w:r>
    </w:p>
    <w:p w:rsidR="001C58B2" w:rsidRPr="001C58B2" w:rsidRDefault="001C58B2" w:rsidP="001C58B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1C58B2">
        <w:rPr>
          <w:rFonts w:ascii="inherit" w:eastAsia="Times New Roman" w:hAnsi="inherit" w:cs="Times New Roman"/>
          <w:i/>
          <w:iCs/>
          <w:color w:val="000000"/>
          <w:sz w:val="24"/>
          <w:szCs w:val="24"/>
          <w:bdr w:val="none" w:sz="0" w:space="0" w:color="auto" w:frame="1"/>
          <w:lang w:eastAsia="it-IT"/>
        </w:rPr>
        <w:t>Udito</w:t>
      </w:r>
      <w:r w:rsidRPr="001C58B2">
        <w:rPr>
          <w:rFonts w:ascii="Times New Roman" w:eastAsia="Times New Roman" w:hAnsi="Times New Roman" w:cs="Times New Roman"/>
          <w:color w:val="000000"/>
          <w:sz w:val="24"/>
          <w:szCs w:val="24"/>
          <w:lang w:eastAsia="it-IT"/>
        </w:rPr>
        <w:t xml:space="preserve"> nella camera di consiglio del 26 febbraio 2003 il Giudice relatore Guido </w:t>
      </w:r>
      <w:proofErr w:type="spellStart"/>
      <w:r w:rsidRPr="001C58B2">
        <w:rPr>
          <w:rFonts w:ascii="Times New Roman" w:eastAsia="Times New Roman" w:hAnsi="Times New Roman" w:cs="Times New Roman"/>
          <w:color w:val="000000"/>
          <w:sz w:val="24"/>
          <w:szCs w:val="24"/>
          <w:lang w:eastAsia="it-IT"/>
        </w:rPr>
        <w:t>Neppi</w:t>
      </w:r>
      <w:proofErr w:type="spellEnd"/>
      <w:r w:rsidRPr="001C58B2">
        <w:rPr>
          <w:rFonts w:ascii="Times New Roman" w:eastAsia="Times New Roman" w:hAnsi="Times New Roman" w:cs="Times New Roman"/>
          <w:color w:val="000000"/>
          <w:sz w:val="24"/>
          <w:szCs w:val="24"/>
          <w:lang w:eastAsia="it-IT"/>
        </w:rPr>
        <w:t xml:space="preserve"> </w:t>
      </w:r>
      <w:proofErr w:type="spellStart"/>
      <w:r w:rsidRPr="001C58B2">
        <w:rPr>
          <w:rFonts w:ascii="Times New Roman" w:eastAsia="Times New Roman" w:hAnsi="Times New Roman" w:cs="Times New Roman"/>
          <w:color w:val="000000"/>
          <w:sz w:val="24"/>
          <w:szCs w:val="24"/>
          <w:lang w:eastAsia="it-IT"/>
        </w:rPr>
        <w:t>Modona</w:t>
      </w:r>
      <w:proofErr w:type="spellEnd"/>
      <w:r w:rsidRPr="001C58B2">
        <w:rPr>
          <w:rFonts w:ascii="Times New Roman" w:eastAsia="Times New Roman" w:hAnsi="Times New Roman" w:cs="Times New Roman"/>
          <w:color w:val="000000"/>
          <w:sz w:val="24"/>
          <w:szCs w:val="24"/>
          <w:lang w:eastAsia="it-IT"/>
        </w:rPr>
        <w:t>.</w:t>
      </w:r>
    </w:p>
    <w:p w:rsidR="001C58B2" w:rsidRPr="001C58B2" w:rsidRDefault="001C58B2" w:rsidP="001C58B2">
      <w:pPr>
        <w:spacing w:after="0" w:line="240" w:lineRule="auto"/>
        <w:rPr>
          <w:rFonts w:ascii="Times New Roman" w:eastAsia="Times New Roman" w:hAnsi="Times New Roman" w:cs="Times New Roman"/>
          <w:sz w:val="24"/>
          <w:szCs w:val="24"/>
          <w:lang w:eastAsia="it-IT"/>
        </w:rPr>
      </w:pPr>
      <w:bookmarkStart w:id="0" w:name="fatto"/>
      <w:bookmarkEnd w:id="0"/>
    </w:p>
    <w:p w:rsidR="001C58B2" w:rsidRPr="001C58B2" w:rsidRDefault="001C58B2" w:rsidP="001C58B2">
      <w:pPr>
        <w:shd w:val="clear" w:color="auto" w:fill="FFFFFF"/>
        <w:spacing w:before="284" w:after="284" w:line="240" w:lineRule="auto"/>
        <w:jc w:val="center"/>
        <w:textAlignment w:val="baseline"/>
        <w:rPr>
          <w:rFonts w:ascii="Times New Roman" w:eastAsia="Times New Roman" w:hAnsi="Times New Roman" w:cs="Times New Roman"/>
          <w:i/>
          <w:iCs/>
          <w:color w:val="000000"/>
          <w:sz w:val="24"/>
          <w:szCs w:val="24"/>
          <w:lang w:eastAsia="it-IT"/>
        </w:rPr>
      </w:pPr>
      <w:r w:rsidRPr="001C58B2">
        <w:rPr>
          <w:rFonts w:ascii="Times New Roman" w:eastAsia="Times New Roman" w:hAnsi="Times New Roman" w:cs="Times New Roman"/>
          <w:i/>
          <w:iCs/>
          <w:color w:val="000000"/>
          <w:sz w:val="24"/>
          <w:szCs w:val="24"/>
          <w:lang w:eastAsia="it-IT"/>
        </w:rPr>
        <w:t>Ritenuto in fatto</w:t>
      </w:r>
    </w:p>
    <w:p w:rsidR="001C58B2" w:rsidRPr="001C58B2" w:rsidRDefault="001C58B2" w:rsidP="001C58B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1C58B2">
        <w:rPr>
          <w:rFonts w:ascii="Times New Roman" w:eastAsia="Times New Roman" w:hAnsi="Times New Roman" w:cs="Times New Roman"/>
          <w:color w:val="000000"/>
          <w:sz w:val="24"/>
          <w:szCs w:val="24"/>
          <w:lang w:eastAsia="it-IT"/>
        </w:rPr>
        <w:t>1. - Il Tribunale di sorveglianza di Firenze ha sollevato, in riferimento all'art. 27, terzo comma, della Costituzione, questione di legittimità costituzionale dell'art. 4-</w:t>
      </w:r>
      <w:r w:rsidRPr="001C58B2">
        <w:rPr>
          <w:rFonts w:ascii="inherit" w:eastAsia="Times New Roman" w:hAnsi="inherit" w:cs="Times New Roman"/>
          <w:i/>
          <w:iCs/>
          <w:color w:val="000000"/>
          <w:sz w:val="24"/>
          <w:szCs w:val="24"/>
          <w:bdr w:val="none" w:sz="0" w:space="0" w:color="auto" w:frame="1"/>
          <w:lang w:eastAsia="it-IT"/>
        </w:rPr>
        <w:t>bis</w:t>
      </w:r>
      <w:r w:rsidRPr="001C58B2">
        <w:rPr>
          <w:rFonts w:ascii="Times New Roman" w:eastAsia="Times New Roman" w:hAnsi="Times New Roman" w:cs="Times New Roman"/>
          <w:color w:val="000000"/>
          <w:sz w:val="24"/>
          <w:szCs w:val="24"/>
          <w:lang w:eastAsia="it-IT"/>
        </w:rPr>
        <w:t>, comma 1, primo periodo, della legge 26 luglio 1975, n. 354 (Norme sull'ordinamento penitenziario e sulla esecuzione delle misure privative e limitative della libertà), come modificato dal decreto-legge 8 giugno 1992, n. 306, convertito nella legge 7 agosto 1992, n. 356, nella parte in cui impedisce, in assenza della collaborazione con la giustizia a norma dell'art. 58-</w:t>
      </w:r>
      <w:r w:rsidRPr="001C58B2">
        <w:rPr>
          <w:rFonts w:ascii="inherit" w:eastAsia="Times New Roman" w:hAnsi="inherit" w:cs="Times New Roman"/>
          <w:i/>
          <w:iCs/>
          <w:color w:val="000000"/>
          <w:sz w:val="24"/>
          <w:szCs w:val="24"/>
          <w:bdr w:val="none" w:sz="0" w:space="0" w:color="auto" w:frame="1"/>
          <w:lang w:eastAsia="it-IT"/>
        </w:rPr>
        <w:t>ter</w:t>
      </w:r>
      <w:r w:rsidRPr="001C58B2">
        <w:rPr>
          <w:rFonts w:ascii="Times New Roman" w:eastAsia="Times New Roman" w:hAnsi="Times New Roman" w:cs="Times New Roman"/>
          <w:color w:val="000000"/>
          <w:sz w:val="24"/>
          <w:szCs w:val="24"/>
          <w:lang w:eastAsia="it-IT"/>
        </w:rPr>
        <w:t> del medesimo ordinamento, l'ammissione alla liberazione condizionale dei soggetti condannati all'</w:t>
      </w:r>
      <w:r w:rsidRPr="001C58B2">
        <w:rPr>
          <w:rFonts w:ascii="Times New Roman" w:eastAsia="Times New Roman" w:hAnsi="Times New Roman" w:cs="Times New Roman"/>
          <w:color w:val="000000"/>
          <w:sz w:val="24"/>
          <w:szCs w:val="24"/>
          <w:bdr w:val="none" w:sz="0" w:space="0" w:color="auto" w:frame="1"/>
          <w:shd w:val="clear" w:color="auto" w:fill="FFFF00"/>
          <w:lang w:eastAsia="it-IT"/>
        </w:rPr>
        <w:t>ergastolo</w:t>
      </w:r>
      <w:r w:rsidRPr="001C58B2">
        <w:rPr>
          <w:rFonts w:ascii="Times New Roman" w:eastAsia="Times New Roman" w:hAnsi="Times New Roman" w:cs="Times New Roman"/>
          <w:color w:val="000000"/>
          <w:sz w:val="24"/>
          <w:szCs w:val="24"/>
          <w:lang w:eastAsia="it-IT"/>
        </w:rPr>
        <w:t> per taluno dei delitti indicati nel medesimo comma 1, primo periodo, dell'art. 4-</w:t>
      </w:r>
      <w:r w:rsidRPr="001C58B2">
        <w:rPr>
          <w:rFonts w:ascii="inherit" w:eastAsia="Times New Roman" w:hAnsi="inherit" w:cs="Times New Roman"/>
          <w:i/>
          <w:iCs/>
          <w:color w:val="000000"/>
          <w:sz w:val="24"/>
          <w:szCs w:val="24"/>
          <w:bdr w:val="none" w:sz="0" w:space="0" w:color="auto" w:frame="1"/>
          <w:lang w:eastAsia="it-IT"/>
        </w:rPr>
        <w:t>bis</w:t>
      </w:r>
      <w:r w:rsidRPr="001C58B2">
        <w:rPr>
          <w:rFonts w:ascii="Times New Roman" w:eastAsia="Times New Roman" w:hAnsi="Times New Roman" w:cs="Times New Roman"/>
          <w:color w:val="000000"/>
          <w:sz w:val="24"/>
          <w:szCs w:val="24"/>
          <w:lang w:eastAsia="it-IT"/>
        </w:rPr>
        <w:t>.</w:t>
      </w:r>
    </w:p>
    <w:p w:rsidR="001C58B2" w:rsidRPr="001C58B2" w:rsidRDefault="001C58B2" w:rsidP="001C58B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1C58B2">
        <w:rPr>
          <w:rFonts w:ascii="Times New Roman" w:eastAsia="Times New Roman" w:hAnsi="Times New Roman" w:cs="Times New Roman"/>
          <w:color w:val="000000"/>
          <w:sz w:val="24"/>
          <w:szCs w:val="24"/>
          <w:lang w:eastAsia="it-IT"/>
        </w:rPr>
        <w:t>Il rimettente premette di essere investito di una richiesta di liberazione condizionale presentata da un soggetto che sta espiando la pena dell'</w:t>
      </w:r>
      <w:r w:rsidRPr="001C58B2">
        <w:rPr>
          <w:rFonts w:ascii="Times New Roman" w:eastAsia="Times New Roman" w:hAnsi="Times New Roman" w:cs="Times New Roman"/>
          <w:color w:val="000000"/>
          <w:sz w:val="24"/>
          <w:szCs w:val="24"/>
          <w:bdr w:val="none" w:sz="0" w:space="0" w:color="auto" w:frame="1"/>
          <w:shd w:val="clear" w:color="auto" w:fill="FFFF00"/>
          <w:lang w:eastAsia="it-IT"/>
        </w:rPr>
        <w:t>ergastolo</w:t>
      </w:r>
      <w:r w:rsidRPr="001C58B2">
        <w:rPr>
          <w:rFonts w:ascii="Times New Roman" w:eastAsia="Times New Roman" w:hAnsi="Times New Roman" w:cs="Times New Roman"/>
          <w:color w:val="000000"/>
          <w:sz w:val="24"/>
          <w:szCs w:val="24"/>
          <w:lang w:eastAsia="it-IT"/>
        </w:rPr>
        <w:t> per effetto di due condanne (la prima a ventisei anni di reclusione e la seconda a pena perpetua)</w:t>
      </w:r>
      <w:r w:rsidRPr="001C58B2">
        <w:rPr>
          <w:rFonts w:ascii="inherit" w:eastAsia="Times New Roman" w:hAnsi="inherit" w:cs="Times New Roman"/>
          <w:b/>
          <w:bCs/>
          <w:color w:val="000000"/>
          <w:sz w:val="24"/>
          <w:szCs w:val="24"/>
          <w:bdr w:val="none" w:sz="0" w:space="0" w:color="auto" w:frame="1"/>
          <w:lang w:eastAsia="it-IT"/>
        </w:rPr>
        <w:t>,</w:t>
      </w:r>
      <w:r w:rsidRPr="001C58B2">
        <w:rPr>
          <w:rFonts w:ascii="Times New Roman" w:eastAsia="Times New Roman" w:hAnsi="Times New Roman" w:cs="Times New Roman"/>
          <w:color w:val="000000"/>
          <w:sz w:val="24"/>
          <w:szCs w:val="24"/>
          <w:lang w:eastAsia="it-IT"/>
        </w:rPr>
        <w:t> entrambe per sequestro di persona a scopo di estorsione</w:t>
      </w:r>
      <w:r w:rsidRPr="001C58B2">
        <w:rPr>
          <w:rFonts w:ascii="inherit" w:eastAsia="Times New Roman" w:hAnsi="inherit" w:cs="Times New Roman"/>
          <w:b/>
          <w:bCs/>
          <w:color w:val="000000"/>
          <w:sz w:val="24"/>
          <w:szCs w:val="24"/>
          <w:bdr w:val="none" w:sz="0" w:space="0" w:color="auto" w:frame="1"/>
          <w:lang w:eastAsia="it-IT"/>
        </w:rPr>
        <w:t>,</w:t>
      </w:r>
      <w:r w:rsidRPr="001C58B2">
        <w:rPr>
          <w:rFonts w:ascii="Times New Roman" w:eastAsia="Times New Roman" w:hAnsi="Times New Roman" w:cs="Times New Roman"/>
          <w:color w:val="000000"/>
          <w:sz w:val="24"/>
          <w:szCs w:val="24"/>
          <w:lang w:eastAsia="it-IT"/>
        </w:rPr>
        <w:t> e che non si trova nelle condizioni previste dall'art. 58-</w:t>
      </w:r>
      <w:r w:rsidRPr="001C58B2">
        <w:rPr>
          <w:rFonts w:ascii="inherit" w:eastAsia="Times New Roman" w:hAnsi="inherit" w:cs="Times New Roman"/>
          <w:i/>
          <w:iCs/>
          <w:color w:val="000000"/>
          <w:sz w:val="24"/>
          <w:szCs w:val="24"/>
          <w:bdr w:val="none" w:sz="0" w:space="0" w:color="auto" w:frame="1"/>
          <w:lang w:eastAsia="it-IT"/>
        </w:rPr>
        <w:t>ter</w:t>
      </w:r>
      <w:r w:rsidRPr="001C58B2">
        <w:rPr>
          <w:rFonts w:ascii="Times New Roman" w:eastAsia="Times New Roman" w:hAnsi="Times New Roman" w:cs="Times New Roman"/>
          <w:color w:val="000000"/>
          <w:sz w:val="24"/>
          <w:szCs w:val="24"/>
          <w:lang w:eastAsia="it-IT"/>
        </w:rPr>
        <w:t> dell'ordinamento penitenziario. Al riguardo, il giudice </w:t>
      </w:r>
      <w:r w:rsidRPr="001C58B2">
        <w:rPr>
          <w:rFonts w:ascii="inherit" w:eastAsia="Times New Roman" w:hAnsi="inherit" w:cs="Times New Roman"/>
          <w:i/>
          <w:iCs/>
          <w:color w:val="000000"/>
          <w:sz w:val="24"/>
          <w:szCs w:val="24"/>
          <w:bdr w:val="none" w:sz="0" w:space="0" w:color="auto" w:frame="1"/>
          <w:lang w:eastAsia="it-IT"/>
        </w:rPr>
        <w:t>a quo</w:t>
      </w:r>
      <w:r w:rsidRPr="001C58B2">
        <w:rPr>
          <w:rFonts w:ascii="Times New Roman" w:eastAsia="Times New Roman" w:hAnsi="Times New Roman" w:cs="Times New Roman"/>
          <w:color w:val="000000"/>
          <w:sz w:val="24"/>
          <w:szCs w:val="24"/>
          <w:lang w:eastAsia="it-IT"/>
        </w:rPr>
        <w:t> precisa di avere proceduto, attraverso l'amministrazione penitenziaria, a sollecitare il condannato a collaborare con la giustizia al fine di chiarire la vicenda relativa al secondo sequestro, per il quale l'istante «potrebbe (e dovrebbe, se vuole vedere accolta la propria istanza) dire assai di più di quanto non ha detto», ma tale sollecitazione era rimasta senza esito.</w:t>
      </w:r>
    </w:p>
    <w:p w:rsidR="001C58B2" w:rsidRPr="001C58B2" w:rsidRDefault="001C58B2" w:rsidP="001C58B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1C58B2">
        <w:rPr>
          <w:rFonts w:ascii="Times New Roman" w:eastAsia="Times New Roman" w:hAnsi="Times New Roman" w:cs="Times New Roman"/>
          <w:color w:val="000000"/>
          <w:sz w:val="24"/>
          <w:szCs w:val="24"/>
          <w:lang w:eastAsia="it-IT"/>
        </w:rPr>
        <w:t>Nell'ordinanza si espone inoltre che il condannato ha fruito di permessi premio dal 1987, salvo due periodi di interruzione a seguito dell'entrata in vigore del decreto-legge n. 306 del 1992, convertito nella legge n. 356 del 1992, e successivamente a causa della sottoposizione tra il 1993 e il 1994 al «regime di alta sicurezza, con sospensione dei benefici di legge», per un'estorsione in danno di un altro detenuto commessa nel 1993, oggetto di condanna a due anni e sei mesi di reclusione inflitta con sentenza divenuta definitiva nel 1998.</w:t>
      </w:r>
    </w:p>
    <w:p w:rsidR="001C58B2" w:rsidRPr="001C58B2" w:rsidRDefault="001C58B2" w:rsidP="001C58B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1C58B2">
        <w:rPr>
          <w:rFonts w:ascii="Times New Roman" w:eastAsia="Times New Roman" w:hAnsi="Times New Roman" w:cs="Times New Roman"/>
          <w:color w:val="000000"/>
          <w:sz w:val="24"/>
          <w:szCs w:val="24"/>
          <w:lang w:eastAsia="it-IT"/>
        </w:rPr>
        <w:t>Ciò premesso, il rimettente rileva che l'ammissione del condannato alla liberazione condizionale è preclusa dalla disposizione censurata in quanto:</w:t>
      </w:r>
    </w:p>
    <w:p w:rsidR="001C58B2" w:rsidRPr="001C58B2" w:rsidRDefault="001C58B2" w:rsidP="001C58B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1C58B2">
        <w:rPr>
          <w:rFonts w:ascii="Times New Roman" w:eastAsia="Times New Roman" w:hAnsi="Times New Roman" w:cs="Times New Roman"/>
          <w:color w:val="000000"/>
          <w:sz w:val="24"/>
          <w:szCs w:val="24"/>
          <w:lang w:eastAsia="it-IT"/>
        </w:rPr>
        <w:lastRenderedPageBreak/>
        <w:t>- tale disposizione è applicabile, secondo la giurisprudenza prevalente, anche alla liberazione condizionale in ragione della natura mobile del rinvio contenuto nell'art. 2 del decreto-legge n. 152 del 1991 all'art. 4-</w:t>
      </w:r>
      <w:r w:rsidRPr="001C58B2">
        <w:rPr>
          <w:rFonts w:ascii="inherit" w:eastAsia="Times New Roman" w:hAnsi="inherit" w:cs="Times New Roman"/>
          <w:i/>
          <w:iCs/>
          <w:color w:val="000000"/>
          <w:sz w:val="24"/>
          <w:szCs w:val="24"/>
          <w:bdr w:val="none" w:sz="0" w:space="0" w:color="auto" w:frame="1"/>
          <w:lang w:eastAsia="it-IT"/>
        </w:rPr>
        <w:t>bis</w:t>
      </w:r>
      <w:r w:rsidRPr="001C58B2">
        <w:rPr>
          <w:rFonts w:ascii="Times New Roman" w:eastAsia="Times New Roman" w:hAnsi="Times New Roman" w:cs="Times New Roman"/>
          <w:color w:val="000000"/>
          <w:sz w:val="24"/>
          <w:szCs w:val="24"/>
          <w:lang w:eastAsia="it-IT"/>
        </w:rPr>
        <w:t>, sì che anche in relazione a tale beneficio è operante la condizione che il condannato abbia collaborato con la giustizia;</w:t>
      </w:r>
    </w:p>
    <w:p w:rsidR="001C58B2" w:rsidRPr="001C58B2" w:rsidRDefault="001C58B2" w:rsidP="001C58B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1C58B2">
        <w:rPr>
          <w:rFonts w:ascii="Times New Roman" w:eastAsia="Times New Roman" w:hAnsi="Times New Roman" w:cs="Times New Roman"/>
          <w:color w:val="000000"/>
          <w:sz w:val="24"/>
          <w:szCs w:val="24"/>
          <w:lang w:eastAsia="it-IT"/>
        </w:rPr>
        <w:t>- il condannato non si trova in una situazione di collaborazione inesigibile e, in particolare, in una situazione di impossibilità di collaborare in conseguenza dell'integrale accertamento dei fatti alla stregua della sentenza n. 68 del 1995;</w:t>
      </w:r>
    </w:p>
    <w:p w:rsidR="001C58B2" w:rsidRPr="001C58B2" w:rsidRDefault="001C58B2" w:rsidP="001C58B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1C58B2">
        <w:rPr>
          <w:rFonts w:ascii="Times New Roman" w:eastAsia="Times New Roman" w:hAnsi="Times New Roman" w:cs="Times New Roman"/>
          <w:color w:val="000000"/>
          <w:sz w:val="24"/>
          <w:szCs w:val="24"/>
          <w:lang w:eastAsia="it-IT"/>
        </w:rPr>
        <w:t>- non può trovare applicazione nel caso di specie la giurisprudenza costituzionale secondo cui anche in assenza del requisito della collaborazione possono essere ammessi ai benefici e alle misure alternative alla detenzione di cui al capo VI dell'ordinamento penitenziario i condannati che prima dell'entrata in vigore del decreto-legge n. 306 del 1992, convertito nella legge n. 356 del 1992, abbiano raggiunto un grado di rieducazione adeguato al beneficio richiesto (sentenza n. 445 del 1997), poiché se è vero che il condannato prima della legge di modifica «era avviato da tempo su un percorso riabilitativo», a seguito della condanna riportata per i fatti commessi nel 1993 si è determinata una interruzione della continuità di tale percorso nella fase e nel grado già maturati in precedenza.</w:t>
      </w:r>
    </w:p>
    <w:p w:rsidR="001C58B2" w:rsidRPr="001C58B2" w:rsidRDefault="001C58B2" w:rsidP="001C58B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1C58B2">
        <w:rPr>
          <w:rFonts w:ascii="Times New Roman" w:eastAsia="Times New Roman" w:hAnsi="Times New Roman" w:cs="Times New Roman"/>
          <w:color w:val="000000"/>
          <w:sz w:val="24"/>
          <w:szCs w:val="24"/>
          <w:lang w:eastAsia="it-IT"/>
        </w:rPr>
        <w:t>Il Tribunale precisa di aver già sollevato nell'ambito dello stesso procedimento identica questione di legittimità costituzionale, dichiarata manifestamente inammissibile con ordinanza n. 359 del 2001 per difetto di rilevanza, in quanto condizionata dall'esito del procedimento sulla revoca della liberazione anticipata conseguente alla condanna per il reato commesso durante l'esecuzione della pena.</w:t>
      </w:r>
    </w:p>
    <w:p w:rsidR="001C58B2" w:rsidRPr="001C58B2" w:rsidRDefault="001C58B2" w:rsidP="001C58B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1C58B2">
        <w:rPr>
          <w:rFonts w:ascii="Times New Roman" w:eastAsia="Times New Roman" w:hAnsi="Times New Roman" w:cs="Times New Roman"/>
          <w:color w:val="000000"/>
          <w:sz w:val="24"/>
          <w:szCs w:val="24"/>
          <w:lang w:eastAsia="it-IT"/>
        </w:rPr>
        <w:t xml:space="preserve">Intervenuta la decisione di non revocare la liberazione condizionale, il rimettente ripropone la questione dando atto che il condannato ha superato il limite di ventisei anni di pena previsto dall'art. 176 cod. </w:t>
      </w:r>
      <w:proofErr w:type="spellStart"/>
      <w:r w:rsidRPr="001C58B2">
        <w:rPr>
          <w:rFonts w:ascii="Times New Roman" w:eastAsia="Times New Roman" w:hAnsi="Times New Roman" w:cs="Times New Roman"/>
          <w:color w:val="000000"/>
          <w:sz w:val="24"/>
          <w:szCs w:val="24"/>
          <w:lang w:eastAsia="it-IT"/>
        </w:rPr>
        <w:t>pen</w:t>
      </w:r>
      <w:proofErr w:type="spellEnd"/>
      <w:r w:rsidRPr="001C58B2">
        <w:rPr>
          <w:rFonts w:ascii="Times New Roman" w:eastAsia="Times New Roman" w:hAnsi="Times New Roman" w:cs="Times New Roman"/>
          <w:color w:val="000000"/>
          <w:sz w:val="24"/>
          <w:szCs w:val="24"/>
          <w:lang w:eastAsia="it-IT"/>
        </w:rPr>
        <w:t>. per l'ammissione alla liberazione condizionale.</w:t>
      </w:r>
    </w:p>
    <w:p w:rsidR="001C58B2" w:rsidRPr="001C58B2" w:rsidRDefault="001C58B2" w:rsidP="001C58B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1C58B2">
        <w:rPr>
          <w:rFonts w:ascii="Times New Roman" w:eastAsia="Times New Roman" w:hAnsi="Times New Roman" w:cs="Times New Roman"/>
          <w:color w:val="000000"/>
          <w:sz w:val="24"/>
          <w:szCs w:val="24"/>
          <w:lang w:eastAsia="it-IT"/>
        </w:rPr>
        <w:t>2. - In ordine alla non manifesta infondatezza, il rimettente rileva che l'art. 4-</w:t>
      </w:r>
      <w:r w:rsidRPr="001C58B2">
        <w:rPr>
          <w:rFonts w:ascii="inherit" w:eastAsia="Times New Roman" w:hAnsi="inherit" w:cs="Times New Roman"/>
          <w:i/>
          <w:iCs/>
          <w:color w:val="000000"/>
          <w:sz w:val="24"/>
          <w:szCs w:val="24"/>
          <w:bdr w:val="none" w:sz="0" w:space="0" w:color="auto" w:frame="1"/>
          <w:lang w:eastAsia="it-IT"/>
        </w:rPr>
        <w:t>bis</w:t>
      </w:r>
      <w:r w:rsidRPr="001C58B2">
        <w:rPr>
          <w:rFonts w:ascii="Times New Roman" w:eastAsia="Times New Roman" w:hAnsi="Times New Roman" w:cs="Times New Roman"/>
          <w:color w:val="000000"/>
          <w:sz w:val="24"/>
          <w:szCs w:val="24"/>
          <w:lang w:eastAsia="it-IT"/>
        </w:rPr>
        <w:t>, comma 1, primo periodo, dell'ordinamento penitenziario, impedendo l'ammissione alla liberazione condizionale dei condannati all'</w:t>
      </w:r>
      <w:r w:rsidRPr="001C58B2">
        <w:rPr>
          <w:rFonts w:ascii="Times New Roman" w:eastAsia="Times New Roman" w:hAnsi="Times New Roman" w:cs="Times New Roman"/>
          <w:color w:val="000000"/>
          <w:sz w:val="24"/>
          <w:szCs w:val="24"/>
          <w:bdr w:val="none" w:sz="0" w:space="0" w:color="auto" w:frame="1"/>
          <w:shd w:val="clear" w:color="auto" w:fill="FFFF00"/>
          <w:lang w:eastAsia="it-IT"/>
        </w:rPr>
        <w:t>ergastolo</w:t>
      </w:r>
      <w:r w:rsidRPr="001C58B2">
        <w:rPr>
          <w:rFonts w:ascii="Times New Roman" w:eastAsia="Times New Roman" w:hAnsi="Times New Roman" w:cs="Times New Roman"/>
          <w:color w:val="000000"/>
          <w:sz w:val="24"/>
          <w:szCs w:val="24"/>
          <w:lang w:eastAsia="it-IT"/>
        </w:rPr>
        <w:t> che non collaborano con la giustizia, rende «effettivamente» perpetua la pena nei confronti di tali soggetti.</w:t>
      </w:r>
    </w:p>
    <w:p w:rsidR="001C58B2" w:rsidRPr="001C58B2" w:rsidRDefault="001C58B2" w:rsidP="001C58B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1C58B2">
        <w:rPr>
          <w:rFonts w:ascii="Times New Roman" w:eastAsia="Times New Roman" w:hAnsi="Times New Roman" w:cs="Times New Roman"/>
          <w:color w:val="000000"/>
          <w:sz w:val="24"/>
          <w:szCs w:val="24"/>
          <w:lang w:eastAsia="it-IT"/>
        </w:rPr>
        <w:t>La disciplina censurata determinerebbe perciò una situazione in tutto analoga a quella presa in esame dalla sentenza della Corte costituzionale n. 161 del 1997, che ha dichiarato, in riferimento all'art. 27, terzo comma, Cost., l'illegittimità costituzionale dell'art. 177, primo comma, ultimo periodo, del codice penale, nella parte in cui non prevede che il condannato alla pena dell'</w:t>
      </w:r>
      <w:r w:rsidRPr="001C58B2">
        <w:rPr>
          <w:rFonts w:ascii="Times New Roman" w:eastAsia="Times New Roman" w:hAnsi="Times New Roman" w:cs="Times New Roman"/>
          <w:color w:val="000000"/>
          <w:sz w:val="24"/>
          <w:szCs w:val="24"/>
          <w:bdr w:val="none" w:sz="0" w:space="0" w:color="auto" w:frame="1"/>
          <w:shd w:val="clear" w:color="auto" w:fill="FFFF00"/>
          <w:lang w:eastAsia="it-IT"/>
        </w:rPr>
        <w:t>ergastolo</w:t>
      </w:r>
      <w:r w:rsidRPr="001C58B2">
        <w:rPr>
          <w:rFonts w:ascii="Times New Roman" w:eastAsia="Times New Roman" w:hAnsi="Times New Roman" w:cs="Times New Roman"/>
          <w:color w:val="000000"/>
          <w:sz w:val="24"/>
          <w:szCs w:val="24"/>
          <w:lang w:eastAsia="it-IT"/>
        </w:rPr>
        <w:t>, cui sia stata revocata la liberazione condizionale, possa essere nuovamente ammesso a fruire del beneficio ove ne sussistano i relativi presupposti.</w:t>
      </w:r>
    </w:p>
    <w:p w:rsidR="001C58B2" w:rsidRPr="001C58B2" w:rsidRDefault="001C58B2" w:rsidP="001C58B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1C58B2">
        <w:rPr>
          <w:rFonts w:ascii="Times New Roman" w:eastAsia="Times New Roman" w:hAnsi="Times New Roman" w:cs="Times New Roman"/>
          <w:color w:val="000000"/>
          <w:sz w:val="24"/>
          <w:szCs w:val="24"/>
          <w:lang w:eastAsia="it-IT"/>
        </w:rPr>
        <w:t>A giudizio del rimettente, il divieto di concessione della liberazione condizionale in assenza del requisito della collaborazione con la giustizia è causa di una esclusione permanente ed assoluta dei condannati all'</w:t>
      </w:r>
      <w:r w:rsidRPr="001C58B2">
        <w:rPr>
          <w:rFonts w:ascii="Times New Roman" w:eastAsia="Times New Roman" w:hAnsi="Times New Roman" w:cs="Times New Roman"/>
          <w:color w:val="000000"/>
          <w:sz w:val="24"/>
          <w:szCs w:val="24"/>
          <w:bdr w:val="none" w:sz="0" w:space="0" w:color="auto" w:frame="1"/>
          <w:shd w:val="clear" w:color="auto" w:fill="FFFF00"/>
          <w:lang w:eastAsia="it-IT"/>
        </w:rPr>
        <w:t>ergastolo</w:t>
      </w:r>
      <w:r w:rsidRPr="001C58B2">
        <w:rPr>
          <w:rFonts w:ascii="Times New Roman" w:eastAsia="Times New Roman" w:hAnsi="Times New Roman" w:cs="Times New Roman"/>
          <w:color w:val="000000"/>
          <w:sz w:val="24"/>
          <w:szCs w:val="24"/>
          <w:lang w:eastAsia="it-IT"/>
        </w:rPr>
        <w:t> dal processo rieducativo e di reinserimento sociale, in violazione del precetto contenuto nell'art. 27, terzo comma, Cost., così come lo era prima dell'intervento della Corte costituzionale il divieto di riammissione di tali soggetti alla liberazione condizionale in caso di revoca del beneficio.</w:t>
      </w:r>
    </w:p>
    <w:p w:rsidR="001C58B2" w:rsidRPr="001C58B2" w:rsidRDefault="001C58B2" w:rsidP="001C58B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1C58B2">
        <w:rPr>
          <w:rFonts w:ascii="Times New Roman" w:eastAsia="Times New Roman" w:hAnsi="Times New Roman" w:cs="Times New Roman"/>
          <w:color w:val="000000"/>
          <w:sz w:val="24"/>
          <w:szCs w:val="24"/>
          <w:lang w:eastAsia="it-IT"/>
        </w:rPr>
        <w:t>Il giudice </w:t>
      </w:r>
      <w:r w:rsidRPr="001C58B2">
        <w:rPr>
          <w:rFonts w:ascii="inherit" w:eastAsia="Times New Roman" w:hAnsi="inherit" w:cs="Times New Roman"/>
          <w:i/>
          <w:iCs/>
          <w:color w:val="000000"/>
          <w:sz w:val="24"/>
          <w:szCs w:val="24"/>
          <w:bdr w:val="none" w:sz="0" w:space="0" w:color="auto" w:frame="1"/>
          <w:lang w:eastAsia="it-IT"/>
        </w:rPr>
        <w:t>a quo</w:t>
      </w:r>
      <w:r w:rsidRPr="001C58B2">
        <w:rPr>
          <w:rFonts w:ascii="Times New Roman" w:eastAsia="Times New Roman" w:hAnsi="Times New Roman" w:cs="Times New Roman"/>
          <w:color w:val="000000"/>
          <w:sz w:val="24"/>
          <w:szCs w:val="24"/>
          <w:lang w:eastAsia="it-IT"/>
        </w:rPr>
        <w:t> precisa che nella sentenza n. 161 del 1997 la Corte ha infatti affermato che «se la liberazione condizionale è l'unico istituto che in virtù della sua esistenza nell'ordinamento rende non contrastante con il principio rieducativo, e dunque con la Costituzione, la pena dell'</w:t>
      </w:r>
      <w:r w:rsidRPr="001C58B2">
        <w:rPr>
          <w:rFonts w:ascii="Times New Roman" w:eastAsia="Times New Roman" w:hAnsi="Times New Roman" w:cs="Times New Roman"/>
          <w:color w:val="000000"/>
          <w:sz w:val="24"/>
          <w:szCs w:val="24"/>
          <w:bdr w:val="none" w:sz="0" w:space="0" w:color="auto" w:frame="1"/>
          <w:shd w:val="clear" w:color="auto" w:fill="FFFF00"/>
          <w:lang w:eastAsia="it-IT"/>
        </w:rPr>
        <w:t>ergastolo</w:t>
      </w:r>
      <w:r w:rsidRPr="001C58B2">
        <w:rPr>
          <w:rFonts w:ascii="Times New Roman" w:eastAsia="Times New Roman" w:hAnsi="Times New Roman" w:cs="Times New Roman"/>
          <w:color w:val="000000"/>
          <w:sz w:val="24"/>
          <w:szCs w:val="24"/>
          <w:lang w:eastAsia="it-IT"/>
        </w:rPr>
        <w:t>, vale evidentemente la proposizione reciproca, secondo cui detta pena contrasta con la Costituzione ove, sia pure attraverso il passaggio per uno o più esperimenti negativi, fosse totalmente preclusa, in via assoluta, la riammissione del condannato alla liberazione condizionale».</w:t>
      </w:r>
    </w:p>
    <w:p w:rsidR="001C58B2" w:rsidRPr="001C58B2" w:rsidRDefault="001C58B2" w:rsidP="001C58B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1C58B2">
        <w:rPr>
          <w:rFonts w:ascii="Times New Roman" w:eastAsia="Times New Roman" w:hAnsi="Times New Roman" w:cs="Times New Roman"/>
          <w:color w:val="000000"/>
          <w:sz w:val="24"/>
          <w:szCs w:val="24"/>
          <w:lang w:eastAsia="it-IT"/>
        </w:rPr>
        <w:t>Del resto già in precedenza - ricorda il rimettente - la Corte costituzionale aveva sottolineato come l'ammissione alla liberazione condizionale rivesta valore preminente ai fini della compatibilità dell'</w:t>
      </w:r>
      <w:r w:rsidRPr="001C58B2">
        <w:rPr>
          <w:rFonts w:ascii="Times New Roman" w:eastAsia="Times New Roman" w:hAnsi="Times New Roman" w:cs="Times New Roman"/>
          <w:color w:val="000000"/>
          <w:sz w:val="24"/>
          <w:szCs w:val="24"/>
          <w:bdr w:val="none" w:sz="0" w:space="0" w:color="auto" w:frame="1"/>
          <w:shd w:val="clear" w:color="auto" w:fill="FFFF00"/>
          <w:lang w:eastAsia="it-IT"/>
        </w:rPr>
        <w:t>ergastolo</w:t>
      </w:r>
      <w:r w:rsidRPr="001C58B2">
        <w:rPr>
          <w:rFonts w:ascii="Times New Roman" w:eastAsia="Times New Roman" w:hAnsi="Times New Roman" w:cs="Times New Roman"/>
          <w:color w:val="000000"/>
          <w:sz w:val="24"/>
          <w:szCs w:val="24"/>
          <w:lang w:eastAsia="it-IT"/>
        </w:rPr>
        <w:t xml:space="preserve"> con la Costituzione e aveva affermato che sulla base dell'art. 27, terzo comma, Cost. va riconosciuto in capo al condannato il diritto «a che verificandosi le condizioni poste dalla norma di diritto sostanziale, il protrarsi della realizzazione della pretesa punitiva venga riesaminato al fine di </w:t>
      </w:r>
      <w:r w:rsidRPr="001C58B2">
        <w:rPr>
          <w:rFonts w:ascii="Times New Roman" w:eastAsia="Times New Roman" w:hAnsi="Times New Roman" w:cs="Times New Roman"/>
          <w:color w:val="000000"/>
          <w:sz w:val="24"/>
          <w:szCs w:val="24"/>
          <w:lang w:eastAsia="it-IT"/>
        </w:rPr>
        <w:lastRenderedPageBreak/>
        <w:t>accertare se in effetti la quantità di pena espiata abbia o meno assolto positivamente al suo fine rieducativo» (sentenza n. 204 del 1974).</w:t>
      </w:r>
    </w:p>
    <w:p w:rsidR="001C58B2" w:rsidRPr="001C58B2" w:rsidRDefault="001C58B2" w:rsidP="001C58B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1C58B2">
        <w:rPr>
          <w:rFonts w:ascii="Times New Roman" w:eastAsia="Times New Roman" w:hAnsi="Times New Roman" w:cs="Times New Roman"/>
          <w:color w:val="000000"/>
          <w:sz w:val="24"/>
          <w:szCs w:val="24"/>
          <w:lang w:eastAsia="it-IT"/>
        </w:rPr>
        <w:t>Nell'affermazione della Corte vi sarebbe dunque il riconoscimento di un vero e proprio «diritto soggettivo che trova la sua fonte nella Costituzione», il quale tuttavia per effetto della disciplina censurata si traduce, secondo il rimettente, in un «diritto a rischio di non-fruizione».</w:t>
      </w:r>
      <w:bookmarkStart w:id="1" w:name="diritto"/>
      <w:bookmarkEnd w:id="1"/>
    </w:p>
    <w:p w:rsidR="001C58B2" w:rsidRPr="001C58B2" w:rsidRDefault="001C58B2" w:rsidP="001C58B2">
      <w:pPr>
        <w:shd w:val="clear" w:color="auto" w:fill="FFFFFF"/>
        <w:spacing w:before="284" w:after="284" w:line="240" w:lineRule="auto"/>
        <w:jc w:val="center"/>
        <w:textAlignment w:val="baseline"/>
        <w:rPr>
          <w:rFonts w:ascii="Times New Roman" w:eastAsia="Times New Roman" w:hAnsi="Times New Roman" w:cs="Times New Roman"/>
          <w:i/>
          <w:iCs/>
          <w:color w:val="000000"/>
          <w:sz w:val="24"/>
          <w:szCs w:val="24"/>
          <w:lang w:eastAsia="it-IT"/>
        </w:rPr>
      </w:pPr>
      <w:r w:rsidRPr="001C58B2">
        <w:rPr>
          <w:rFonts w:ascii="Times New Roman" w:eastAsia="Times New Roman" w:hAnsi="Times New Roman" w:cs="Times New Roman"/>
          <w:i/>
          <w:iCs/>
          <w:color w:val="000000"/>
          <w:sz w:val="24"/>
          <w:szCs w:val="24"/>
          <w:lang w:eastAsia="it-IT"/>
        </w:rPr>
        <w:t>Considerato in diritto</w:t>
      </w:r>
    </w:p>
    <w:p w:rsidR="001C58B2" w:rsidRPr="001C58B2" w:rsidRDefault="001C58B2" w:rsidP="001C58B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1C58B2">
        <w:rPr>
          <w:rFonts w:ascii="Times New Roman" w:eastAsia="Times New Roman" w:hAnsi="Times New Roman" w:cs="Times New Roman"/>
          <w:color w:val="000000"/>
          <w:sz w:val="24"/>
          <w:szCs w:val="24"/>
          <w:lang w:eastAsia="it-IT"/>
        </w:rPr>
        <w:t>1. - Il Tribunale di sorveglianza di Firenze sottopone al giudizio di questa Corte l'art. 4-</w:t>
      </w:r>
      <w:r w:rsidRPr="001C58B2">
        <w:rPr>
          <w:rFonts w:ascii="inherit" w:eastAsia="Times New Roman" w:hAnsi="inherit" w:cs="Times New Roman"/>
          <w:i/>
          <w:iCs/>
          <w:color w:val="000000"/>
          <w:sz w:val="24"/>
          <w:szCs w:val="24"/>
          <w:bdr w:val="none" w:sz="0" w:space="0" w:color="auto" w:frame="1"/>
          <w:lang w:eastAsia="it-IT"/>
        </w:rPr>
        <w:t>bis</w:t>
      </w:r>
      <w:r w:rsidRPr="001C58B2">
        <w:rPr>
          <w:rFonts w:ascii="Times New Roman" w:eastAsia="Times New Roman" w:hAnsi="Times New Roman" w:cs="Times New Roman"/>
          <w:color w:val="000000"/>
          <w:sz w:val="24"/>
          <w:szCs w:val="24"/>
          <w:lang w:eastAsia="it-IT"/>
        </w:rPr>
        <w:t>, comma 1, primo periodo, della legge 26 luglio 1975, n. 354 (Norme sull'ordinamento penitenziario e sulla esecuzione delle misure privative e limitative della libertà), come modificato dal decreto-legge 8 giugno 1992, n. 306, convertito nella legge 7 agosto 1992, n. 356, nella parte in cui, in assenza della collaborazione con la giustizia a norma dell'art. 58-</w:t>
      </w:r>
      <w:r w:rsidRPr="001C58B2">
        <w:rPr>
          <w:rFonts w:ascii="inherit" w:eastAsia="Times New Roman" w:hAnsi="inherit" w:cs="Times New Roman"/>
          <w:i/>
          <w:iCs/>
          <w:color w:val="000000"/>
          <w:sz w:val="24"/>
          <w:szCs w:val="24"/>
          <w:bdr w:val="none" w:sz="0" w:space="0" w:color="auto" w:frame="1"/>
          <w:lang w:eastAsia="it-IT"/>
        </w:rPr>
        <w:t>ter</w:t>
      </w:r>
      <w:r w:rsidRPr="001C58B2">
        <w:rPr>
          <w:rFonts w:ascii="Times New Roman" w:eastAsia="Times New Roman" w:hAnsi="Times New Roman" w:cs="Times New Roman"/>
          <w:color w:val="000000"/>
          <w:sz w:val="24"/>
          <w:szCs w:val="24"/>
          <w:lang w:eastAsia="it-IT"/>
        </w:rPr>
        <w:t> del medesimo ordinamento penitenziario, non consente al condannato alla pena dell'ergastolo per uno dei delitti indicati nella disposizione censurata di essere ammesso alla liberazione condizionale.</w:t>
      </w:r>
    </w:p>
    <w:p w:rsidR="001C58B2" w:rsidRPr="001C58B2" w:rsidRDefault="001C58B2" w:rsidP="001C58B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1C58B2">
        <w:rPr>
          <w:rFonts w:ascii="Times New Roman" w:eastAsia="Times New Roman" w:hAnsi="Times New Roman" w:cs="Times New Roman"/>
          <w:color w:val="000000"/>
          <w:sz w:val="24"/>
          <w:szCs w:val="24"/>
          <w:lang w:eastAsia="it-IT"/>
        </w:rPr>
        <w:t>Il rimettente afferma che secondo la giurisprudenza prevalente la collaborazione con la giustizia è condizione anche per l'ammissione al beneficio della liberazione condizionale (stante la natura mobile del rinvio operato dall'art. 2 del decreto-legge 13 maggio 1991, n. 152, convertito con modificazioni nella legge 12 luglio 1991, n. 203, all'art. 4-</w:t>
      </w:r>
      <w:r w:rsidRPr="001C58B2">
        <w:rPr>
          <w:rFonts w:ascii="inherit" w:eastAsia="Times New Roman" w:hAnsi="inherit" w:cs="Times New Roman"/>
          <w:i/>
          <w:iCs/>
          <w:color w:val="000000"/>
          <w:sz w:val="24"/>
          <w:szCs w:val="24"/>
          <w:bdr w:val="none" w:sz="0" w:space="0" w:color="auto" w:frame="1"/>
          <w:lang w:eastAsia="it-IT"/>
        </w:rPr>
        <w:t>bis</w:t>
      </w:r>
      <w:r w:rsidRPr="001C58B2">
        <w:rPr>
          <w:rFonts w:ascii="Times New Roman" w:eastAsia="Times New Roman" w:hAnsi="Times New Roman" w:cs="Times New Roman"/>
          <w:color w:val="000000"/>
          <w:sz w:val="24"/>
          <w:szCs w:val="24"/>
          <w:lang w:eastAsia="it-IT"/>
        </w:rPr>
        <w:t>, comma 1, dell'ordinamento penitenziario) e che il condannato non si trova in una situazione di collaborazione inesigibile alla stregua della sentenza n. 68 del 1995, né in una situazione in cui potrebbe essere ammesso alla liberazione condizionale per avere raggiunto prima dell'entrata in vigore della disciplina censurata un grado di rieducazione adeguato al beneficio richiesto (sentenza n. 445 del 1997).</w:t>
      </w:r>
    </w:p>
    <w:p w:rsidR="001C58B2" w:rsidRPr="001C58B2" w:rsidRDefault="001C58B2" w:rsidP="001C58B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1C58B2">
        <w:rPr>
          <w:rFonts w:ascii="Times New Roman" w:eastAsia="Times New Roman" w:hAnsi="Times New Roman" w:cs="Times New Roman"/>
          <w:color w:val="000000"/>
          <w:sz w:val="24"/>
          <w:szCs w:val="24"/>
          <w:lang w:eastAsia="it-IT"/>
        </w:rPr>
        <w:t>Ciò posto, il giudice </w:t>
      </w:r>
      <w:r w:rsidRPr="001C58B2">
        <w:rPr>
          <w:rFonts w:ascii="inherit" w:eastAsia="Times New Roman" w:hAnsi="inherit" w:cs="Times New Roman"/>
          <w:i/>
          <w:iCs/>
          <w:color w:val="000000"/>
          <w:sz w:val="24"/>
          <w:szCs w:val="24"/>
          <w:bdr w:val="none" w:sz="0" w:space="0" w:color="auto" w:frame="1"/>
          <w:lang w:eastAsia="it-IT"/>
        </w:rPr>
        <w:t>a quo</w:t>
      </w:r>
      <w:r w:rsidRPr="001C58B2">
        <w:rPr>
          <w:rFonts w:ascii="Times New Roman" w:eastAsia="Times New Roman" w:hAnsi="Times New Roman" w:cs="Times New Roman"/>
          <w:color w:val="000000"/>
          <w:sz w:val="24"/>
          <w:szCs w:val="24"/>
          <w:lang w:eastAsia="it-IT"/>
        </w:rPr>
        <w:t> rileva che l'art. 4-</w:t>
      </w:r>
      <w:r w:rsidRPr="001C58B2">
        <w:rPr>
          <w:rFonts w:ascii="inherit" w:eastAsia="Times New Roman" w:hAnsi="inherit" w:cs="Times New Roman"/>
          <w:i/>
          <w:iCs/>
          <w:color w:val="000000"/>
          <w:sz w:val="24"/>
          <w:szCs w:val="24"/>
          <w:bdr w:val="none" w:sz="0" w:space="0" w:color="auto" w:frame="1"/>
          <w:lang w:eastAsia="it-IT"/>
        </w:rPr>
        <w:t>bis</w:t>
      </w:r>
      <w:r w:rsidRPr="001C58B2">
        <w:rPr>
          <w:rFonts w:ascii="Times New Roman" w:eastAsia="Times New Roman" w:hAnsi="Times New Roman" w:cs="Times New Roman"/>
          <w:color w:val="000000"/>
          <w:sz w:val="24"/>
          <w:szCs w:val="24"/>
          <w:lang w:eastAsia="it-IT"/>
        </w:rPr>
        <w:t>, comma 1, primo periodo, dell'ordinamento penitenziario, precludendo l'ammissione alla liberazione condizionale dei condannati all'ergastolo che non collaborano con la giustizia, rende effettivamente perpetua la pena nei loro confronti, escludendoli in via permanente dal processo rieducativo, in contrasto con l'art. 27, terzo comma, Cost.</w:t>
      </w:r>
    </w:p>
    <w:p w:rsidR="001C58B2" w:rsidRPr="001C58B2" w:rsidRDefault="001C58B2" w:rsidP="001C58B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1C58B2">
        <w:rPr>
          <w:rFonts w:ascii="Times New Roman" w:eastAsia="Times New Roman" w:hAnsi="Times New Roman" w:cs="Times New Roman"/>
          <w:color w:val="000000"/>
          <w:sz w:val="24"/>
          <w:szCs w:val="24"/>
          <w:lang w:eastAsia="it-IT"/>
        </w:rPr>
        <w:t>Ad avviso del rimettente, la disciplina impugnata determinerebbe una situazione del tutto analoga a quella scrutinata dalla Corte con la sentenza n. 161 del 1997, che ha dichiarato l'illegittimità costituzionale dell'art. 177, primo comma, ultimo periodo, del codice penale, nella parte in cui non prevede che il condannato alla pena dell'ergastolo, cui sia stata revocata la liberazione condizionale, possa essere nuovamente ammesso a fruire del beneficio ove ne sussistano i relativi presupposti, perché tale disciplina determinava appunto una esclusione permanente e assoluta dal processo rieducativo, in violazione dell'art. 27, terzo comma, Cost.</w:t>
      </w:r>
    </w:p>
    <w:p w:rsidR="001C58B2" w:rsidRPr="001C58B2" w:rsidRDefault="001C58B2" w:rsidP="001C58B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1C58B2">
        <w:rPr>
          <w:rFonts w:ascii="Times New Roman" w:eastAsia="Times New Roman" w:hAnsi="Times New Roman" w:cs="Times New Roman"/>
          <w:color w:val="000000"/>
          <w:sz w:val="24"/>
          <w:szCs w:val="24"/>
          <w:lang w:eastAsia="it-IT"/>
        </w:rPr>
        <w:t>2. - È opportuno precisare che, successivamente all'ordinanza di rimessione, il comma 1 dell'art. 4-</w:t>
      </w:r>
      <w:r w:rsidRPr="001C58B2">
        <w:rPr>
          <w:rFonts w:ascii="inherit" w:eastAsia="Times New Roman" w:hAnsi="inherit" w:cs="Times New Roman"/>
          <w:i/>
          <w:iCs/>
          <w:color w:val="000000"/>
          <w:sz w:val="24"/>
          <w:szCs w:val="24"/>
          <w:bdr w:val="none" w:sz="0" w:space="0" w:color="auto" w:frame="1"/>
          <w:lang w:eastAsia="it-IT"/>
        </w:rPr>
        <w:t>bis</w:t>
      </w:r>
      <w:r w:rsidRPr="001C58B2">
        <w:rPr>
          <w:rFonts w:ascii="Times New Roman" w:eastAsia="Times New Roman" w:hAnsi="Times New Roman" w:cs="Times New Roman"/>
          <w:color w:val="000000"/>
          <w:sz w:val="24"/>
          <w:szCs w:val="24"/>
          <w:lang w:eastAsia="it-IT"/>
        </w:rPr>
        <w:t> dell'ordinamento penitenziario è stato integralmente sostituito dall'art. 1 della legge 23 dicembre 2002, n. 279</w:t>
      </w:r>
      <w:r w:rsidRPr="001C58B2">
        <w:rPr>
          <w:rFonts w:ascii="inherit" w:eastAsia="Times New Roman" w:hAnsi="inherit" w:cs="Times New Roman"/>
          <w:b/>
          <w:bCs/>
          <w:color w:val="000000"/>
          <w:sz w:val="24"/>
          <w:szCs w:val="24"/>
          <w:bdr w:val="none" w:sz="0" w:space="0" w:color="auto" w:frame="1"/>
          <w:lang w:eastAsia="it-IT"/>
        </w:rPr>
        <w:t>; </w:t>
      </w:r>
      <w:r w:rsidRPr="001C58B2">
        <w:rPr>
          <w:rFonts w:ascii="Times New Roman" w:eastAsia="Times New Roman" w:hAnsi="Times New Roman" w:cs="Times New Roman"/>
          <w:color w:val="000000"/>
          <w:sz w:val="24"/>
          <w:szCs w:val="24"/>
          <w:lang w:eastAsia="it-IT"/>
        </w:rPr>
        <w:t>ma per quanto rileva ai fini della presente questione, l'intervento legislativo non ha modificato la disciplina censurata, in quanto si è limitato a recepire il contenuto delle sentenze della Corte costituzionale n. 357 del 1994 e n. 68 del 1995, ammettendo il condannato ai benefici penitenziari anche nelle situazioni in cui la limitata partecipazione al fatto criminoso ovvero l'integrale accertamento dei fatti e delle responsabilità rende comunque impossibile un'utile collaborazione con la giustizia.</w:t>
      </w:r>
    </w:p>
    <w:p w:rsidR="001C58B2" w:rsidRPr="001C58B2" w:rsidRDefault="001C58B2" w:rsidP="001C58B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1C58B2">
        <w:rPr>
          <w:rFonts w:ascii="Times New Roman" w:eastAsia="Times New Roman" w:hAnsi="Times New Roman" w:cs="Times New Roman"/>
          <w:color w:val="000000"/>
          <w:sz w:val="24"/>
          <w:szCs w:val="24"/>
          <w:lang w:eastAsia="it-IT"/>
        </w:rPr>
        <w:t>3. - La questione è infondata.</w:t>
      </w:r>
    </w:p>
    <w:p w:rsidR="001C58B2" w:rsidRPr="001C58B2" w:rsidRDefault="001C58B2" w:rsidP="001C58B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1C58B2">
        <w:rPr>
          <w:rFonts w:ascii="Times New Roman" w:eastAsia="Times New Roman" w:hAnsi="Times New Roman" w:cs="Times New Roman"/>
          <w:color w:val="000000"/>
          <w:sz w:val="24"/>
          <w:szCs w:val="24"/>
          <w:lang w:eastAsia="it-IT"/>
        </w:rPr>
        <w:t xml:space="preserve">4. - Diversamente da quanto mostra di ritenere il rimettente, la preclusione all'ammissione alla liberazione condizionale che discende dalla disciplina censurata non è equiparabile al divieto che era previsto dall'art. 177, primo comma, cod. </w:t>
      </w:r>
      <w:proofErr w:type="spellStart"/>
      <w:r w:rsidRPr="001C58B2">
        <w:rPr>
          <w:rFonts w:ascii="Times New Roman" w:eastAsia="Times New Roman" w:hAnsi="Times New Roman" w:cs="Times New Roman"/>
          <w:color w:val="000000"/>
          <w:sz w:val="24"/>
          <w:szCs w:val="24"/>
          <w:lang w:eastAsia="it-IT"/>
        </w:rPr>
        <w:t>pen</w:t>
      </w:r>
      <w:proofErr w:type="spellEnd"/>
      <w:r w:rsidRPr="001C58B2">
        <w:rPr>
          <w:rFonts w:ascii="Times New Roman" w:eastAsia="Times New Roman" w:hAnsi="Times New Roman" w:cs="Times New Roman"/>
          <w:color w:val="000000"/>
          <w:sz w:val="24"/>
          <w:szCs w:val="24"/>
          <w:lang w:eastAsia="it-IT"/>
        </w:rPr>
        <w:t>. prima dell'intervento della sentenza n. 161 del 1997.</w:t>
      </w:r>
    </w:p>
    <w:p w:rsidR="001C58B2" w:rsidRPr="001C58B2" w:rsidRDefault="001C58B2" w:rsidP="001C58B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1C58B2">
        <w:rPr>
          <w:rFonts w:ascii="Times New Roman" w:eastAsia="Times New Roman" w:hAnsi="Times New Roman" w:cs="Times New Roman"/>
          <w:color w:val="000000"/>
          <w:sz w:val="24"/>
          <w:szCs w:val="24"/>
          <w:lang w:eastAsia="it-IT"/>
        </w:rPr>
        <w:t xml:space="preserve">L'art. 177, primo comma, cod. </w:t>
      </w:r>
      <w:proofErr w:type="spellStart"/>
      <w:r w:rsidRPr="001C58B2">
        <w:rPr>
          <w:rFonts w:ascii="Times New Roman" w:eastAsia="Times New Roman" w:hAnsi="Times New Roman" w:cs="Times New Roman"/>
          <w:color w:val="000000"/>
          <w:sz w:val="24"/>
          <w:szCs w:val="24"/>
          <w:lang w:eastAsia="it-IT"/>
        </w:rPr>
        <w:t>pen</w:t>
      </w:r>
      <w:proofErr w:type="spellEnd"/>
      <w:r w:rsidRPr="001C58B2">
        <w:rPr>
          <w:rFonts w:ascii="Times New Roman" w:eastAsia="Times New Roman" w:hAnsi="Times New Roman" w:cs="Times New Roman"/>
          <w:color w:val="000000"/>
          <w:sz w:val="24"/>
          <w:szCs w:val="24"/>
          <w:lang w:eastAsia="it-IT"/>
        </w:rPr>
        <w:t xml:space="preserve">. è stato dichiarato illegittimo con la menzionata sentenza in quanto, nel prevedere che in caso di revoca della liberazione condizionale conseguente alla commissione di un delitto o di una contravvenzione della stessa indole, ovvero alla trasgressione degli obblighi inerenti alla libertà vigilata, la posizione del condannato non poteva essere riesaminata ai </w:t>
      </w:r>
      <w:r w:rsidRPr="001C58B2">
        <w:rPr>
          <w:rFonts w:ascii="Times New Roman" w:eastAsia="Times New Roman" w:hAnsi="Times New Roman" w:cs="Times New Roman"/>
          <w:color w:val="000000"/>
          <w:sz w:val="24"/>
          <w:szCs w:val="24"/>
          <w:lang w:eastAsia="it-IT"/>
        </w:rPr>
        <w:lastRenderedPageBreak/>
        <w:t>fini di una nuova ammissione al beneficio, dettava un divieto assoluto e definitivo, come tale incompatibile con l'art. 27, terzo comma, Cost.</w:t>
      </w:r>
    </w:p>
    <w:p w:rsidR="001C58B2" w:rsidRPr="001C58B2" w:rsidRDefault="001C58B2" w:rsidP="001C58B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1C58B2">
        <w:rPr>
          <w:rFonts w:ascii="Times New Roman" w:eastAsia="Times New Roman" w:hAnsi="Times New Roman" w:cs="Times New Roman"/>
          <w:color w:val="000000"/>
          <w:sz w:val="24"/>
          <w:szCs w:val="24"/>
          <w:lang w:eastAsia="it-IT"/>
        </w:rPr>
        <w:t>Al contrario, la preclusione prevista dall'art. 4-</w:t>
      </w:r>
      <w:r w:rsidRPr="001C58B2">
        <w:rPr>
          <w:rFonts w:ascii="inherit" w:eastAsia="Times New Roman" w:hAnsi="inherit" w:cs="Times New Roman"/>
          <w:i/>
          <w:iCs/>
          <w:color w:val="000000"/>
          <w:sz w:val="24"/>
          <w:szCs w:val="24"/>
          <w:bdr w:val="none" w:sz="0" w:space="0" w:color="auto" w:frame="1"/>
          <w:lang w:eastAsia="it-IT"/>
        </w:rPr>
        <w:t>bis</w:t>
      </w:r>
      <w:r w:rsidRPr="001C58B2">
        <w:rPr>
          <w:rFonts w:ascii="Times New Roman" w:eastAsia="Times New Roman" w:hAnsi="Times New Roman" w:cs="Times New Roman"/>
          <w:color w:val="000000"/>
          <w:sz w:val="24"/>
          <w:szCs w:val="24"/>
          <w:lang w:eastAsia="it-IT"/>
        </w:rPr>
        <w:t>, comma 1, primo periodo, dell'ordinamento penitenziario non è conseguenza che discende automaticamente dalla norma censurata, ma deriva dalla scelta del condannato di non collaborare, pur essendo nelle condizioni per farlo: tale disciplina non preclude pertanto in maniera assoluta l'ammissione al beneficio, in quanto al condannato è comunque data la possibilità di cambiare la propria scelta.</w:t>
      </w:r>
    </w:p>
    <w:p w:rsidR="001C58B2" w:rsidRPr="001C58B2" w:rsidRDefault="001C58B2" w:rsidP="001C58B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1C58B2">
        <w:rPr>
          <w:rFonts w:ascii="Times New Roman" w:eastAsia="Times New Roman" w:hAnsi="Times New Roman" w:cs="Times New Roman"/>
          <w:color w:val="000000"/>
          <w:sz w:val="24"/>
          <w:szCs w:val="24"/>
          <w:lang w:eastAsia="it-IT"/>
        </w:rPr>
        <w:t>La giurisprudenza costituzionale in tema di collaborazione impossibile, irrilevante o comunque oggettivamente inesigibile è significativamente volta ad escludere qualsiasi automatismo degli effetti nel caso in cui la mancata collaborazione non possa essere imputata ad una libera scelta del condannato. Nelle sentenze n. 306 del 1993, n. 357 del 1994, n. 68 del 1995 la Corte ha appunto individuato varie ipotesi di impossibilità di prestare un'utile collaborazione (perché fatti e responsabilità sono già stati completamente accertati, ovvero perché la posizione marginale nell'organizzazione criminale non consente di conoscere fatti e compartecipi al livello superiore, ipotesi che, come detto, sono ora tutte normativamente previste). La Corte ha poi chiarito, proprio in tema di liberazione condizionale, che «ancorare alla collaborazione la stessa astratta possibilità di fruire di fondamentali strumenti rieducativi, ha un senso solo ove […] si versi in ipotesi di “collaborazione oggettivamente esigibile”, giacché un comportamento che il legislatore presupponga come condizionante l'applicazione di istituti costituzionalmente rilevanti, non può che essere frutto di una libera scelta dell'interessato e, quindi, essere in sé naturalisticamente e giuridicamente “possibile”» (sentenza n. 89 del 1999).</w:t>
      </w:r>
    </w:p>
    <w:p w:rsidR="001C58B2" w:rsidRPr="001C58B2" w:rsidRDefault="001C58B2" w:rsidP="001C58B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1C58B2">
        <w:rPr>
          <w:rFonts w:ascii="Times New Roman" w:eastAsia="Times New Roman" w:hAnsi="Times New Roman" w:cs="Times New Roman"/>
          <w:color w:val="000000"/>
          <w:sz w:val="24"/>
          <w:szCs w:val="24"/>
          <w:lang w:eastAsia="it-IT"/>
        </w:rPr>
        <w:t>Alla luce di tali principi, non vi è dubbio che la disciplina censurata non impedisce in maniera assoluta e definitiva l'ammissione alla liberazione condizionale, ma ancora il divieto alla perdurante scelta del soggetto di non collaborare con la giustizia; scelta che è assunta dal legislatore a «criterio legale di valutazione di un comportamento che deve necessariamente concorrere ai fini di accertare il “sicuro ravvedimento” del condannato» (sentenza n. 273 del 2001). A condizione, beninteso, che la scelta se prestare o meno la collaborazione sia oggettivamente e giuridicamente possibile, nei termini sopra precisati; termini che lo stesso rimettente afferma di aver verificato, escludendo che il condannato versi in una situazione di collaborazione inesigibile e segnalando, in particolare, che avrebbe potuto e dovuto «dire assai di più di quanto non ha detto».</w:t>
      </w:r>
    </w:p>
    <w:p w:rsidR="001C58B2" w:rsidRPr="001C58B2" w:rsidRDefault="001C58B2" w:rsidP="001C58B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1C58B2">
        <w:rPr>
          <w:rFonts w:ascii="Times New Roman" w:eastAsia="Times New Roman" w:hAnsi="Times New Roman" w:cs="Times New Roman"/>
          <w:color w:val="000000"/>
          <w:sz w:val="24"/>
          <w:szCs w:val="24"/>
          <w:lang w:eastAsia="it-IT"/>
        </w:rPr>
        <w:t>5. - Conclusivamente la disciplina censurata, subordinando l'ammissione alla liberazione condizionale alla collaborazione con la giustizia, che è rimessa alla scelta del condannato, non preclude in modo assoluto e definitivo l'accesso al beneficio, e non si pone, quindi, in contrasto con il principio rieducativo enunciato dall'art. 27, terzo comma, Cost.</w:t>
      </w:r>
      <w:bookmarkStart w:id="2" w:name="dispositivo"/>
      <w:bookmarkStart w:id="3" w:name="_GoBack"/>
      <w:bookmarkEnd w:id="2"/>
      <w:bookmarkEnd w:id="3"/>
    </w:p>
    <w:p w:rsidR="001C58B2" w:rsidRPr="001C58B2" w:rsidRDefault="001C58B2" w:rsidP="001C58B2">
      <w:pPr>
        <w:shd w:val="clear" w:color="auto" w:fill="FFFFFF"/>
        <w:spacing w:before="567" w:after="0" w:line="240" w:lineRule="auto"/>
        <w:jc w:val="center"/>
        <w:textAlignment w:val="baseline"/>
        <w:rPr>
          <w:rFonts w:ascii="Times New Roman" w:eastAsia="Times New Roman" w:hAnsi="Times New Roman" w:cs="Times New Roman"/>
          <w:smallCaps/>
          <w:color w:val="000000"/>
          <w:sz w:val="20"/>
          <w:szCs w:val="20"/>
          <w:lang w:eastAsia="it-IT"/>
        </w:rPr>
      </w:pPr>
      <w:r w:rsidRPr="001C58B2">
        <w:rPr>
          <w:rFonts w:ascii="Times New Roman" w:eastAsia="Times New Roman" w:hAnsi="Times New Roman" w:cs="Times New Roman"/>
          <w:smallCaps/>
          <w:color w:val="000000"/>
          <w:sz w:val="20"/>
          <w:szCs w:val="20"/>
          <w:lang w:eastAsia="it-IT"/>
        </w:rPr>
        <w:t>Per Questi Motivi</w:t>
      </w:r>
    </w:p>
    <w:p w:rsidR="001C58B2" w:rsidRPr="001C58B2" w:rsidRDefault="001C58B2" w:rsidP="001C58B2">
      <w:pPr>
        <w:shd w:val="clear" w:color="auto" w:fill="FFFFFF"/>
        <w:spacing w:before="170" w:after="284" w:line="240" w:lineRule="auto"/>
        <w:jc w:val="center"/>
        <w:textAlignment w:val="baseline"/>
        <w:rPr>
          <w:rFonts w:ascii="Times New Roman" w:eastAsia="Times New Roman" w:hAnsi="Times New Roman" w:cs="Times New Roman"/>
          <w:caps/>
          <w:color w:val="000000"/>
          <w:sz w:val="28"/>
          <w:szCs w:val="28"/>
          <w:lang w:eastAsia="it-IT"/>
        </w:rPr>
      </w:pPr>
      <w:r w:rsidRPr="001C58B2">
        <w:rPr>
          <w:rFonts w:ascii="Times New Roman" w:eastAsia="Times New Roman" w:hAnsi="Times New Roman" w:cs="Times New Roman"/>
          <w:caps/>
          <w:color w:val="000000"/>
          <w:sz w:val="28"/>
          <w:szCs w:val="28"/>
          <w:lang w:eastAsia="it-IT"/>
        </w:rPr>
        <w:t>LA CORTE COSTITUZIONALE</w:t>
      </w:r>
    </w:p>
    <w:p w:rsidR="001C58B2" w:rsidRPr="001C58B2" w:rsidRDefault="001C58B2" w:rsidP="001C58B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1C58B2">
        <w:rPr>
          <w:rFonts w:ascii="inherit" w:eastAsia="Times New Roman" w:hAnsi="inherit" w:cs="Times New Roman"/>
          <w:i/>
          <w:iCs/>
          <w:color w:val="000000"/>
          <w:sz w:val="24"/>
          <w:szCs w:val="24"/>
          <w:bdr w:val="none" w:sz="0" w:space="0" w:color="auto" w:frame="1"/>
          <w:lang w:eastAsia="it-IT"/>
        </w:rPr>
        <w:t>dichiara</w:t>
      </w:r>
      <w:r w:rsidRPr="001C58B2">
        <w:rPr>
          <w:rFonts w:ascii="Times New Roman" w:eastAsia="Times New Roman" w:hAnsi="Times New Roman" w:cs="Times New Roman"/>
          <w:color w:val="000000"/>
          <w:sz w:val="24"/>
          <w:szCs w:val="24"/>
          <w:lang w:eastAsia="it-IT"/>
        </w:rPr>
        <w:t> non fondata la questione di legittimità costituzionale dell'art. 4-</w:t>
      </w:r>
      <w:r w:rsidRPr="001C58B2">
        <w:rPr>
          <w:rFonts w:ascii="inherit" w:eastAsia="Times New Roman" w:hAnsi="inherit" w:cs="Times New Roman"/>
          <w:i/>
          <w:iCs/>
          <w:color w:val="000000"/>
          <w:sz w:val="24"/>
          <w:szCs w:val="24"/>
          <w:bdr w:val="none" w:sz="0" w:space="0" w:color="auto" w:frame="1"/>
          <w:lang w:eastAsia="it-IT"/>
        </w:rPr>
        <w:t>bis</w:t>
      </w:r>
      <w:r w:rsidRPr="001C58B2">
        <w:rPr>
          <w:rFonts w:ascii="Times New Roman" w:eastAsia="Times New Roman" w:hAnsi="Times New Roman" w:cs="Times New Roman"/>
          <w:color w:val="000000"/>
          <w:sz w:val="24"/>
          <w:szCs w:val="24"/>
          <w:lang w:eastAsia="it-IT"/>
        </w:rPr>
        <w:t>, comma 1, primo periodo, della legge 26 luglio 1975, n. 354 (Norme sull'ordinamento penitenziario e sulla esecuzione delle misure privative e limitative della libertà), come modificato dal decreto-legge 8 giugno 1992, n. 306, convertito nella legge 7 agosto 1992, n. 356, sollevata, in riferimento all'art. 27, terzo comma, della Costituzione, dal Tribunale di sorveglianza di Firenze, con l'ordinanza in epigrafe.</w:t>
      </w:r>
    </w:p>
    <w:p w:rsidR="001C58B2" w:rsidRPr="001C58B2" w:rsidRDefault="001C58B2" w:rsidP="001C58B2">
      <w:pPr>
        <w:shd w:val="clear" w:color="auto" w:fill="FFFFFF"/>
        <w:spacing w:after="113" w:line="240" w:lineRule="auto"/>
        <w:ind w:firstLine="397"/>
        <w:jc w:val="both"/>
        <w:textAlignment w:val="baseline"/>
        <w:rPr>
          <w:rFonts w:ascii="Times New Roman" w:eastAsia="Times New Roman" w:hAnsi="Times New Roman" w:cs="Times New Roman"/>
          <w:color w:val="000000"/>
          <w:sz w:val="24"/>
          <w:szCs w:val="24"/>
          <w:lang w:eastAsia="it-IT"/>
        </w:rPr>
      </w:pPr>
      <w:r w:rsidRPr="001C58B2">
        <w:rPr>
          <w:rFonts w:ascii="Times New Roman" w:eastAsia="Times New Roman" w:hAnsi="Times New Roman" w:cs="Times New Roman"/>
          <w:color w:val="000000"/>
          <w:sz w:val="24"/>
          <w:szCs w:val="24"/>
          <w:lang w:eastAsia="it-IT"/>
        </w:rPr>
        <w:t>Così deciso in Roma, nella sede della Corte costituzionale, Palazzo della Consulta, il 9 aprile 2003.</w:t>
      </w:r>
    </w:p>
    <w:p w:rsidR="001C58B2" w:rsidRDefault="001C58B2"/>
    <w:sectPr w:rsidR="001C58B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8B2"/>
    <w:rsid w:val="001C58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9B57B"/>
  <w15:chartTrackingRefBased/>
  <w15:docId w15:val="{90708841-68C0-449C-846E-7A950457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1C58B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686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2393</Words>
  <Characters>13646</Characters>
  <Application>Microsoft Office Word</Application>
  <DocSecurity>0</DocSecurity>
  <Lines>113</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Pecorella</dc:creator>
  <cp:keywords/>
  <dc:description/>
  <cp:lastModifiedBy>Claudia Pecorella</cp:lastModifiedBy>
  <cp:revision>1</cp:revision>
  <dcterms:created xsi:type="dcterms:W3CDTF">2018-09-14T13:56:00Z</dcterms:created>
  <dcterms:modified xsi:type="dcterms:W3CDTF">2018-09-14T13:58:00Z</dcterms:modified>
</cp:coreProperties>
</file>