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2915" w:rsidRPr="00F92915" w:rsidRDefault="00F92915" w:rsidP="00925B9E">
      <w:pPr>
        <w:shd w:val="clear" w:color="auto" w:fill="FFFFFF"/>
        <w:spacing w:after="0" w:line="240" w:lineRule="auto"/>
        <w:jc w:val="center"/>
        <w:textAlignment w:val="baseline"/>
        <w:rPr>
          <w:rFonts w:ascii="Times New Roman" w:eastAsia="Times New Roman" w:hAnsi="Times New Roman" w:cs="Times New Roman"/>
          <w:caps/>
          <w:color w:val="000000"/>
          <w:sz w:val="24"/>
          <w:szCs w:val="24"/>
          <w:lang w:eastAsia="it-IT"/>
        </w:rPr>
      </w:pPr>
      <w:r w:rsidRPr="00F92915">
        <w:rPr>
          <w:rFonts w:ascii="Times New Roman" w:eastAsia="Times New Roman" w:hAnsi="Times New Roman" w:cs="Times New Roman"/>
          <w:caps/>
          <w:color w:val="000000"/>
          <w:sz w:val="24"/>
          <w:szCs w:val="24"/>
          <w:lang w:eastAsia="it-IT"/>
        </w:rPr>
        <w:t>N. 42</w:t>
      </w:r>
    </w:p>
    <w:p w:rsidR="00F92915" w:rsidRDefault="00F92915" w:rsidP="00925B9E">
      <w:pPr>
        <w:shd w:val="clear" w:color="auto" w:fill="FFFFFF"/>
        <w:spacing w:after="0" w:line="240" w:lineRule="auto"/>
        <w:jc w:val="center"/>
        <w:textAlignment w:val="baseline"/>
        <w:rPr>
          <w:rFonts w:ascii="Times New Roman" w:eastAsia="Times New Roman" w:hAnsi="Times New Roman" w:cs="Times New Roman"/>
          <w:caps/>
          <w:color w:val="000000"/>
          <w:sz w:val="36"/>
          <w:szCs w:val="36"/>
          <w:lang w:eastAsia="it-IT"/>
        </w:rPr>
      </w:pPr>
      <w:r w:rsidRPr="00F92915">
        <w:rPr>
          <w:rFonts w:ascii="Times New Roman" w:eastAsia="Times New Roman" w:hAnsi="Times New Roman" w:cs="Times New Roman"/>
          <w:caps/>
          <w:color w:val="000000"/>
          <w:sz w:val="36"/>
          <w:szCs w:val="36"/>
          <w:lang w:eastAsia="it-IT"/>
        </w:rPr>
        <w:t>SENTENZA 13 MAGGIO 1965</w:t>
      </w:r>
    </w:p>
    <w:p w:rsidR="00925B9E" w:rsidRPr="00F92915" w:rsidRDefault="00925B9E" w:rsidP="00925B9E">
      <w:pPr>
        <w:shd w:val="clear" w:color="auto" w:fill="FFFFFF"/>
        <w:spacing w:after="0" w:line="240" w:lineRule="auto"/>
        <w:jc w:val="center"/>
        <w:textAlignment w:val="baseline"/>
        <w:rPr>
          <w:rFonts w:ascii="Times New Roman" w:eastAsia="Times New Roman" w:hAnsi="Times New Roman" w:cs="Times New Roman"/>
          <w:caps/>
          <w:color w:val="000000"/>
          <w:sz w:val="36"/>
          <w:szCs w:val="36"/>
          <w:lang w:eastAsia="it-IT"/>
        </w:rPr>
      </w:pPr>
    </w:p>
    <w:p w:rsidR="00F92915" w:rsidRPr="00F92915" w:rsidRDefault="00F92915" w:rsidP="00F92915">
      <w:pPr>
        <w:shd w:val="clear" w:color="auto" w:fill="FFFFFF"/>
        <w:spacing w:after="0" w:line="240" w:lineRule="auto"/>
        <w:jc w:val="center"/>
        <w:textAlignment w:val="baseline"/>
        <w:rPr>
          <w:rFonts w:ascii="Times New Roman" w:eastAsia="Times New Roman" w:hAnsi="Times New Roman" w:cs="Times New Roman"/>
          <w:i/>
          <w:iCs/>
          <w:color w:val="000000"/>
          <w:sz w:val="24"/>
          <w:szCs w:val="24"/>
          <w:lang w:eastAsia="it-IT"/>
        </w:rPr>
      </w:pPr>
      <w:r w:rsidRPr="00F92915">
        <w:rPr>
          <w:rFonts w:ascii="Times New Roman" w:eastAsia="Times New Roman" w:hAnsi="Times New Roman" w:cs="Times New Roman"/>
          <w:i/>
          <w:iCs/>
          <w:color w:val="000000"/>
          <w:sz w:val="24"/>
          <w:szCs w:val="24"/>
          <w:lang w:eastAsia="it-IT"/>
        </w:rPr>
        <w:t>Deposito in cancelleria: 31 maggio 1965.</w:t>
      </w:r>
    </w:p>
    <w:p w:rsidR="00F92915" w:rsidRPr="00F92915" w:rsidRDefault="00F92915" w:rsidP="00F92915">
      <w:pPr>
        <w:shd w:val="clear" w:color="auto" w:fill="FFFFFF"/>
        <w:spacing w:after="0" w:line="240" w:lineRule="auto"/>
        <w:jc w:val="center"/>
        <w:textAlignment w:val="baseline"/>
        <w:rPr>
          <w:rFonts w:ascii="Times New Roman" w:eastAsia="Times New Roman" w:hAnsi="Times New Roman" w:cs="Times New Roman"/>
          <w:i/>
          <w:iCs/>
          <w:color w:val="000000"/>
          <w:sz w:val="24"/>
          <w:szCs w:val="24"/>
          <w:lang w:eastAsia="it-IT"/>
        </w:rPr>
      </w:pPr>
      <w:r w:rsidRPr="00F92915">
        <w:rPr>
          <w:rFonts w:ascii="Times New Roman" w:eastAsia="Times New Roman" w:hAnsi="Times New Roman" w:cs="Times New Roman"/>
          <w:i/>
          <w:iCs/>
          <w:color w:val="000000"/>
          <w:sz w:val="24"/>
          <w:szCs w:val="24"/>
          <w:lang w:eastAsia="it-IT"/>
        </w:rPr>
        <w:t>Pubblicazione in "Gazzetta Ufficiale" n. 139 del 5 giugno 1965.</w:t>
      </w:r>
    </w:p>
    <w:p w:rsidR="00F92915" w:rsidRPr="00925B9E" w:rsidRDefault="00F92915" w:rsidP="00925B9E">
      <w:pPr>
        <w:shd w:val="clear" w:color="auto" w:fill="FFFFFF"/>
        <w:spacing w:before="284" w:after="397" w:line="240" w:lineRule="auto"/>
        <w:jc w:val="center"/>
        <w:textAlignment w:val="baseline"/>
        <w:rPr>
          <w:rFonts w:ascii="Times New Roman" w:eastAsia="Times New Roman" w:hAnsi="Times New Roman" w:cs="Times New Roman"/>
          <w:color w:val="000000"/>
          <w:sz w:val="24"/>
          <w:szCs w:val="24"/>
          <w:lang w:eastAsia="it-IT"/>
        </w:rPr>
      </w:pPr>
      <w:proofErr w:type="spellStart"/>
      <w:r w:rsidRPr="00F92915">
        <w:rPr>
          <w:rFonts w:ascii="Times New Roman" w:eastAsia="Times New Roman" w:hAnsi="Times New Roman" w:cs="Times New Roman"/>
          <w:color w:val="000000"/>
          <w:sz w:val="24"/>
          <w:szCs w:val="24"/>
          <w:lang w:eastAsia="it-IT"/>
        </w:rPr>
        <w:t>Pres</w:t>
      </w:r>
      <w:proofErr w:type="spellEnd"/>
      <w:r w:rsidRPr="00F92915">
        <w:rPr>
          <w:rFonts w:ascii="Times New Roman" w:eastAsia="Times New Roman" w:hAnsi="Times New Roman" w:cs="Times New Roman"/>
          <w:color w:val="000000"/>
          <w:sz w:val="24"/>
          <w:szCs w:val="24"/>
          <w:lang w:eastAsia="it-IT"/>
        </w:rPr>
        <w:t xml:space="preserve">. AMBROSINI - </w:t>
      </w:r>
      <w:proofErr w:type="spellStart"/>
      <w:r w:rsidRPr="00F92915">
        <w:rPr>
          <w:rFonts w:ascii="Times New Roman" w:eastAsia="Times New Roman" w:hAnsi="Times New Roman" w:cs="Times New Roman"/>
          <w:color w:val="000000"/>
          <w:sz w:val="24"/>
          <w:szCs w:val="24"/>
          <w:lang w:eastAsia="it-IT"/>
        </w:rPr>
        <w:t>Rel</w:t>
      </w:r>
      <w:proofErr w:type="spellEnd"/>
      <w:r w:rsidRPr="00F92915">
        <w:rPr>
          <w:rFonts w:ascii="Times New Roman" w:eastAsia="Times New Roman" w:hAnsi="Times New Roman" w:cs="Times New Roman"/>
          <w:color w:val="000000"/>
          <w:sz w:val="24"/>
          <w:szCs w:val="24"/>
          <w:lang w:eastAsia="it-IT"/>
        </w:rPr>
        <w:t>. PETROCELLI</w:t>
      </w:r>
    </w:p>
    <w:p w:rsidR="00F92915" w:rsidRPr="00F92915" w:rsidRDefault="00F92915" w:rsidP="00F92915">
      <w:pPr>
        <w:shd w:val="clear" w:color="auto" w:fill="FFFFFF"/>
        <w:spacing w:before="567" w:after="284" w:line="240" w:lineRule="auto"/>
        <w:jc w:val="center"/>
        <w:textAlignment w:val="baseline"/>
        <w:rPr>
          <w:rFonts w:ascii="Times New Roman" w:eastAsia="Times New Roman" w:hAnsi="Times New Roman" w:cs="Times New Roman"/>
          <w:caps/>
          <w:color w:val="000000"/>
          <w:sz w:val="24"/>
          <w:szCs w:val="24"/>
          <w:lang w:eastAsia="it-IT"/>
        </w:rPr>
      </w:pPr>
      <w:r w:rsidRPr="00F92915">
        <w:rPr>
          <w:rFonts w:ascii="Times New Roman" w:eastAsia="Times New Roman" w:hAnsi="Times New Roman" w:cs="Times New Roman"/>
          <w:caps/>
          <w:color w:val="000000"/>
          <w:sz w:val="24"/>
          <w:szCs w:val="24"/>
          <w:lang w:eastAsia="it-IT"/>
        </w:rPr>
        <w:t>LA CORTE COSTITUZIONALE</w:t>
      </w:r>
    </w:p>
    <w:p w:rsidR="00F92915" w:rsidRPr="00F92915" w:rsidRDefault="00F92915" w:rsidP="00F92915">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it-IT"/>
        </w:rPr>
      </w:pPr>
      <w:r w:rsidRPr="00F92915">
        <w:rPr>
          <w:rFonts w:ascii="Times New Roman" w:eastAsia="Times New Roman" w:hAnsi="Times New Roman" w:cs="Times New Roman"/>
          <w:color w:val="000000"/>
          <w:sz w:val="24"/>
          <w:szCs w:val="24"/>
          <w:lang w:eastAsia="it-IT"/>
        </w:rPr>
        <w:t>composta dai signori: Prof. GASPARE AMBROSINI, Presidente - Prof. GIUSEPPE CASTELLI AVOLIO - Prof. ANTONINO PAPALDO - Prof. NICOLA JAEGER - Prof. BIAGIO PETROCELLI - Prof. ALDO SANDULLI - Prof. GIUSEPPE BRANCA - Prof. MICHELE FRAGALI - Prof. COSTANTINO MORTATI - Prof. GIUSEPPE CHIARELLI - Dott. GIUSEPPE VERZÌ - Dott. GIOVANNI BATTISTA BENEDETTI - Prof. FRANCESCO PAOLO BONIFACIO, Giudici,</w:t>
      </w:r>
    </w:p>
    <w:p w:rsidR="00F92915" w:rsidRPr="00F92915" w:rsidRDefault="00F92915" w:rsidP="00F92915">
      <w:pPr>
        <w:spacing w:after="0" w:line="240" w:lineRule="auto"/>
        <w:rPr>
          <w:rFonts w:ascii="Times New Roman" w:eastAsia="Times New Roman" w:hAnsi="Times New Roman" w:cs="Times New Roman"/>
          <w:sz w:val="24"/>
          <w:szCs w:val="24"/>
          <w:lang w:eastAsia="it-IT"/>
        </w:rPr>
      </w:pPr>
      <w:r w:rsidRPr="00F92915">
        <w:rPr>
          <w:rFonts w:ascii="Arial" w:eastAsia="Times New Roman" w:hAnsi="Arial" w:cs="Arial"/>
          <w:color w:val="000000"/>
          <w:sz w:val="21"/>
          <w:szCs w:val="21"/>
          <w:lang w:eastAsia="it-IT"/>
        </w:rPr>
        <w:br/>
      </w:r>
    </w:p>
    <w:p w:rsidR="00F92915" w:rsidRPr="00F92915" w:rsidRDefault="00F92915" w:rsidP="00F92915">
      <w:pPr>
        <w:shd w:val="clear" w:color="auto" w:fill="FFFFFF"/>
        <w:spacing w:before="284" w:after="0" w:line="240" w:lineRule="auto"/>
        <w:jc w:val="both"/>
        <w:textAlignment w:val="baseline"/>
        <w:rPr>
          <w:rFonts w:ascii="Times New Roman" w:eastAsia="Times New Roman" w:hAnsi="Times New Roman" w:cs="Times New Roman"/>
          <w:color w:val="000000"/>
          <w:sz w:val="24"/>
          <w:szCs w:val="24"/>
          <w:lang w:eastAsia="it-IT"/>
        </w:rPr>
      </w:pPr>
      <w:r w:rsidRPr="00F92915">
        <w:rPr>
          <w:rFonts w:ascii="Times New Roman" w:eastAsia="Times New Roman" w:hAnsi="Times New Roman" w:cs="Times New Roman"/>
          <w:color w:val="000000"/>
          <w:sz w:val="24"/>
          <w:szCs w:val="24"/>
          <w:lang w:eastAsia="it-IT"/>
        </w:rPr>
        <w:t>ha pronunciato la seguente</w:t>
      </w:r>
    </w:p>
    <w:p w:rsidR="00F92915" w:rsidRPr="00F92915" w:rsidRDefault="00F92915" w:rsidP="00F92915">
      <w:pPr>
        <w:shd w:val="clear" w:color="auto" w:fill="FFFFFF"/>
        <w:spacing w:after="170" w:line="240" w:lineRule="auto"/>
        <w:jc w:val="center"/>
        <w:textAlignment w:val="baseline"/>
        <w:rPr>
          <w:rFonts w:ascii="Times New Roman" w:eastAsia="Times New Roman" w:hAnsi="Times New Roman" w:cs="Times New Roman"/>
          <w:caps/>
          <w:color w:val="000000"/>
          <w:sz w:val="24"/>
          <w:szCs w:val="24"/>
          <w:lang w:eastAsia="it-IT"/>
        </w:rPr>
      </w:pPr>
      <w:r w:rsidRPr="00F92915">
        <w:rPr>
          <w:rFonts w:ascii="Times New Roman" w:eastAsia="Times New Roman" w:hAnsi="Times New Roman" w:cs="Times New Roman"/>
          <w:caps/>
          <w:color w:val="000000"/>
          <w:sz w:val="24"/>
          <w:szCs w:val="24"/>
          <w:lang w:eastAsia="it-IT"/>
        </w:rPr>
        <w:t>SENTENZA</w:t>
      </w:r>
    </w:p>
    <w:p w:rsidR="00F92915" w:rsidRPr="00F92915" w:rsidRDefault="00F92915" w:rsidP="00F92915">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F92915">
        <w:rPr>
          <w:rFonts w:ascii="Times New Roman" w:eastAsia="Times New Roman" w:hAnsi="Times New Roman" w:cs="Times New Roman"/>
          <w:color w:val="000000"/>
          <w:sz w:val="24"/>
          <w:szCs w:val="24"/>
          <w:lang w:eastAsia="it-IT"/>
        </w:rPr>
        <w:t xml:space="preserve">nel giudizio di legittimità costituzionale dell'art. 116 del Codice penale, promosso con ordinanza emessa il 20 ottobre 1964 dalla Corte di assise di Roma nel procedimento penale a carico di Tutino Giovanni, Ferretti </w:t>
      </w:r>
      <w:proofErr w:type="spellStart"/>
      <w:r w:rsidRPr="00F92915">
        <w:rPr>
          <w:rFonts w:ascii="Times New Roman" w:eastAsia="Times New Roman" w:hAnsi="Times New Roman" w:cs="Times New Roman"/>
          <w:color w:val="000000"/>
          <w:sz w:val="24"/>
          <w:szCs w:val="24"/>
          <w:lang w:eastAsia="it-IT"/>
        </w:rPr>
        <w:t>Amedino</w:t>
      </w:r>
      <w:proofErr w:type="spellEnd"/>
      <w:r w:rsidRPr="00F92915">
        <w:rPr>
          <w:rFonts w:ascii="Times New Roman" w:eastAsia="Times New Roman" w:hAnsi="Times New Roman" w:cs="Times New Roman"/>
          <w:color w:val="000000"/>
          <w:sz w:val="24"/>
          <w:szCs w:val="24"/>
          <w:lang w:eastAsia="it-IT"/>
        </w:rPr>
        <w:t xml:space="preserve"> ed altri, iscritta al n. 181 del Registro ordinanze 1964 e pubblicata nella Gazzetta Ufficiale della Repubblica, n. 308 del 12 dicembre 1964.</w:t>
      </w:r>
    </w:p>
    <w:p w:rsidR="00F92915" w:rsidRPr="00F92915" w:rsidRDefault="00F92915" w:rsidP="00F92915">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F92915">
        <w:rPr>
          <w:rFonts w:ascii="Times New Roman" w:eastAsia="Times New Roman" w:hAnsi="Times New Roman" w:cs="Times New Roman"/>
          <w:color w:val="000000"/>
          <w:sz w:val="24"/>
          <w:szCs w:val="24"/>
          <w:lang w:eastAsia="it-IT"/>
        </w:rPr>
        <w:t xml:space="preserve">Visti l'atto di intervento del Presidente del Consiglio dei Ministri e l'atto di costituzione in giudizio di Ferretti </w:t>
      </w:r>
      <w:proofErr w:type="spellStart"/>
      <w:r w:rsidRPr="00F92915">
        <w:rPr>
          <w:rFonts w:ascii="Times New Roman" w:eastAsia="Times New Roman" w:hAnsi="Times New Roman" w:cs="Times New Roman"/>
          <w:color w:val="000000"/>
          <w:sz w:val="24"/>
          <w:szCs w:val="24"/>
          <w:lang w:eastAsia="it-IT"/>
        </w:rPr>
        <w:t>Amedino</w:t>
      </w:r>
      <w:proofErr w:type="spellEnd"/>
      <w:r w:rsidRPr="00F92915">
        <w:rPr>
          <w:rFonts w:ascii="Times New Roman" w:eastAsia="Times New Roman" w:hAnsi="Times New Roman" w:cs="Times New Roman"/>
          <w:color w:val="000000"/>
          <w:sz w:val="24"/>
          <w:szCs w:val="24"/>
          <w:lang w:eastAsia="it-IT"/>
        </w:rPr>
        <w:t>;</w:t>
      </w:r>
    </w:p>
    <w:p w:rsidR="00F92915" w:rsidRPr="00F92915" w:rsidRDefault="00F92915" w:rsidP="00F92915">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F92915">
        <w:rPr>
          <w:rFonts w:ascii="Times New Roman" w:eastAsia="Times New Roman" w:hAnsi="Times New Roman" w:cs="Times New Roman"/>
          <w:color w:val="000000"/>
          <w:sz w:val="24"/>
          <w:szCs w:val="24"/>
          <w:lang w:eastAsia="it-IT"/>
        </w:rPr>
        <w:t>udita nell'udienza pubblica del 17 marzo 1965 la relazione del Giudice Biagio Petrocelli;</w:t>
      </w:r>
    </w:p>
    <w:p w:rsidR="00F92915" w:rsidRPr="00F92915" w:rsidRDefault="00F92915" w:rsidP="00F92915">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F92915">
        <w:rPr>
          <w:rFonts w:ascii="Times New Roman" w:eastAsia="Times New Roman" w:hAnsi="Times New Roman" w:cs="Times New Roman"/>
          <w:color w:val="000000"/>
          <w:sz w:val="24"/>
          <w:szCs w:val="24"/>
          <w:lang w:eastAsia="it-IT"/>
        </w:rPr>
        <w:t xml:space="preserve">uditi gli avvocati Remo </w:t>
      </w:r>
      <w:proofErr w:type="spellStart"/>
      <w:r w:rsidRPr="00F92915">
        <w:rPr>
          <w:rFonts w:ascii="Times New Roman" w:eastAsia="Times New Roman" w:hAnsi="Times New Roman" w:cs="Times New Roman"/>
          <w:color w:val="000000"/>
          <w:sz w:val="24"/>
          <w:szCs w:val="24"/>
          <w:lang w:eastAsia="it-IT"/>
        </w:rPr>
        <w:t>Pannain</w:t>
      </w:r>
      <w:proofErr w:type="spellEnd"/>
      <w:r w:rsidRPr="00F92915">
        <w:rPr>
          <w:rFonts w:ascii="Times New Roman" w:eastAsia="Times New Roman" w:hAnsi="Times New Roman" w:cs="Times New Roman"/>
          <w:color w:val="000000"/>
          <w:sz w:val="24"/>
          <w:szCs w:val="24"/>
          <w:lang w:eastAsia="it-IT"/>
        </w:rPr>
        <w:t xml:space="preserve"> e Giuseppe </w:t>
      </w:r>
      <w:proofErr w:type="spellStart"/>
      <w:r w:rsidRPr="00F92915">
        <w:rPr>
          <w:rFonts w:ascii="Times New Roman" w:eastAsia="Times New Roman" w:hAnsi="Times New Roman" w:cs="Times New Roman"/>
          <w:color w:val="000000"/>
          <w:sz w:val="24"/>
          <w:szCs w:val="24"/>
          <w:lang w:eastAsia="it-IT"/>
        </w:rPr>
        <w:t>Berlingieri</w:t>
      </w:r>
      <w:proofErr w:type="spellEnd"/>
      <w:r w:rsidRPr="00F92915">
        <w:rPr>
          <w:rFonts w:ascii="Times New Roman" w:eastAsia="Times New Roman" w:hAnsi="Times New Roman" w:cs="Times New Roman"/>
          <w:color w:val="000000"/>
          <w:sz w:val="24"/>
          <w:szCs w:val="24"/>
          <w:lang w:eastAsia="it-IT"/>
        </w:rPr>
        <w:t xml:space="preserve">, per Ferretti </w:t>
      </w:r>
      <w:proofErr w:type="spellStart"/>
      <w:r w:rsidRPr="00F92915">
        <w:rPr>
          <w:rFonts w:ascii="Times New Roman" w:eastAsia="Times New Roman" w:hAnsi="Times New Roman" w:cs="Times New Roman"/>
          <w:color w:val="000000"/>
          <w:sz w:val="24"/>
          <w:szCs w:val="24"/>
          <w:lang w:eastAsia="it-IT"/>
        </w:rPr>
        <w:t>Amedino</w:t>
      </w:r>
      <w:proofErr w:type="spellEnd"/>
      <w:r w:rsidRPr="00F92915">
        <w:rPr>
          <w:rFonts w:ascii="Times New Roman" w:eastAsia="Times New Roman" w:hAnsi="Times New Roman" w:cs="Times New Roman"/>
          <w:color w:val="000000"/>
          <w:sz w:val="24"/>
          <w:szCs w:val="24"/>
          <w:lang w:eastAsia="it-IT"/>
        </w:rPr>
        <w:t>, e il vice avvocato generale dello Stato Dario Foligno, per il Presidente del Consiglio dei Ministri.</w:t>
      </w:r>
    </w:p>
    <w:p w:rsidR="00F92915" w:rsidRPr="00F92915" w:rsidRDefault="00F92915" w:rsidP="00F92915">
      <w:pPr>
        <w:spacing w:after="0" w:line="240" w:lineRule="auto"/>
        <w:rPr>
          <w:rFonts w:ascii="Times New Roman" w:eastAsia="Times New Roman" w:hAnsi="Times New Roman" w:cs="Times New Roman"/>
          <w:sz w:val="24"/>
          <w:szCs w:val="24"/>
          <w:lang w:eastAsia="it-IT"/>
        </w:rPr>
      </w:pPr>
      <w:r w:rsidRPr="00F92915">
        <w:rPr>
          <w:rFonts w:ascii="Arial" w:eastAsia="Times New Roman" w:hAnsi="Arial" w:cs="Arial"/>
          <w:color w:val="000000"/>
          <w:sz w:val="21"/>
          <w:szCs w:val="21"/>
          <w:lang w:eastAsia="it-IT"/>
        </w:rPr>
        <w:br/>
      </w:r>
      <w:bookmarkStart w:id="0" w:name="fatto"/>
      <w:bookmarkEnd w:id="0"/>
    </w:p>
    <w:p w:rsidR="00F92915" w:rsidRPr="00F92915" w:rsidRDefault="00F92915" w:rsidP="00F92915">
      <w:pPr>
        <w:shd w:val="clear" w:color="auto" w:fill="FFFFFF"/>
        <w:spacing w:before="284" w:after="284" w:line="240" w:lineRule="auto"/>
        <w:jc w:val="center"/>
        <w:textAlignment w:val="baseline"/>
        <w:rPr>
          <w:rFonts w:ascii="Times New Roman" w:eastAsia="Times New Roman" w:hAnsi="Times New Roman" w:cs="Times New Roman"/>
          <w:i/>
          <w:iCs/>
          <w:color w:val="000000"/>
          <w:sz w:val="24"/>
          <w:szCs w:val="24"/>
          <w:lang w:eastAsia="it-IT"/>
        </w:rPr>
      </w:pPr>
      <w:r w:rsidRPr="00F92915">
        <w:rPr>
          <w:rFonts w:ascii="Times New Roman" w:eastAsia="Times New Roman" w:hAnsi="Times New Roman" w:cs="Times New Roman"/>
          <w:i/>
          <w:iCs/>
          <w:color w:val="000000"/>
          <w:sz w:val="24"/>
          <w:szCs w:val="24"/>
          <w:lang w:eastAsia="it-IT"/>
        </w:rPr>
        <w:t>Ritenuto in fatto:</w:t>
      </w:r>
    </w:p>
    <w:p w:rsidR="00F92915" w:rsidRPr="00F92915" w:rsidRDefault="00F92915" w:rsidP="00F92915">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F92915">
        <w:rPr>
          <w:rFonts w:ascii="Times New Roman" w:eastAsia="Times New Roman" w:hAnsi="Times New Roman" w:cs="Times New Roman"/>
          <w:color w:val="000000"/>
          <w:sz w:val="24"/>
          <w:szCs w:val="24"/>
          <w:lang w:eastAsia="it-IT"/>
        </w:rPr>
        <w:t xml:space="preserve">Nel corso del procedimento penale a carico di Tutino Giovanni ed altri davanti alla Corte di assise di Roma, la difesa di Ferretti </w:t>
      </w:r>
      <w:proofErr w:type="spellStart"/>
      <w:r w:rsidRPr="00F92915">
        <w:rPr>
          <w:rFonts w:ascii="Times New Roman" w:eastAsia="Times New Roman" w:hAnsi="Times New Roman" w:cs="Times New Roman"/>
          <w:color w:val="000000"/>
          <w:sz w:val="24"/>
          <w:szCs w:val="24"/>
          <w:lang w:eastAsia="it-IT"/>
        </w:rPr>
        <w:t>Amedino</w:t>
      </w:r>
      <w:proofErr w:type="spellEnd"/>
      <w:r w:rsidRPr="00F92915">
        <w:rPr>
          <w:rFonts w:ascii="Times New Roman" w:eastAsia="Times New Roman" w:hAnsi="Times New Roman" w:cs="Times New Roman"/>
          <w:color w:val="000000"/>
          <w:sz w:val="24"/>
          <w:szCs w:val="24"/>
          <w:lang w:eastAsia="it-IT"/>
        </w:rPr>
        <w:t>, imputato di concorso in omicidio ai sensi dell'art. 116 del Codice penale, ha sollevato questione di legittimità costituzionale di detta norma in riferimento all'art. 27, primo comma, della Costituzione.</w:t>
      </w:r>
    </w:p>
    <w:p w:rsidR="00F92915" w:rsidRPr="00F92915" w:rsidRDefault="00F92915" w:rsidP="00F92915">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F92915">
        <w:rPr>
          <w:rFonts w:ascii="Times New Roman" w:eastAsia="Times New Roman" w:hAnsi="Times New Roman" w:cs="Times New Roman"/>
          <w:color w:val="000000"/>
          <w:sz w:val="24"/>
          <w:szCs w:val="24"/>
          <w:lang w:eastAsia="it-IT"/>
        </w:rPr>
        <w:t>La Corte, ritenuta la questione non manifestamente infondata e rilevante ai fini del giudizio, con ordinanza del 20 ottobre 1964, ha rimesso gli atti alla Corte costituzionale.</w:t>
      </w:r>
    </w:p>
    <w:p w:rsidR="00F92915" w:rsidRPr="00F92915" w:rsidRDefault="00F92915" w:rsidP="00F92915">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F92915">
        <w:rPr>
          <w:rFonts w:ascii="Times New Roman" w:eastAsia="Times New Roman" w:hAnsi="Times New Roman" w:cs="Times New Roman"/>
          <w:color w:val="000000"/>
          <w:sz w:val="24"/>
          <w:szCs w:val="24"/>
          <w:lang w:eastAsia="it-IT"/>
        </w:rPr>
        <w:t>Secondo l'ordinanza, l'art. 116 prevede una "ipotesi di concorso a titolo di responsabilità obiettiva per mero rapporto di causalità materiale tra l'evento non voluto e l'azione od omissione dell'imputato", responsabilità che sarebbe "ascritta per fatto non proprio", e quindi in contrasto col principio, sancito dall'art. 27, primo comma, della Costituzione, della personalità della responsabilità penale.</w:t>
      </w:r>
    </w:p>
    <w:p w:rsidR="00F92915" w:rsidRPr="00F92915" w:rsidRDefault="00F92915" w:rsidP="00F92915">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F92915">
        <w:rPr>
          <w:rFonts w:ascii="Times New Roman" w:eastAsia="Times New Roman" w:hAnsi="Times New Roman" w:cs="Times New Roman"/>
          <w:color w:val="000000"/>
          <w:sz w:val="24"/>
          <w:szCs w:val="24"/>
          <w:lang w:eastAsia="it-IT"/>
        </w:rPr>
        <w:t>L'ordinanza è stata notificata, comunicata e pubblicata sulla Gazzetta Ufficiale, n. 308 del 12 dicembre 1964.</w:t>
      </w:r>
    </w:p>
    <w:p w:rsidR="00F92915" w:rsidRPr="00F92915" w:rsidRDefault="00F92915" w:rsidP="00F92915">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F92915">
        <w:rPr>
          <w:rFonts w:ascii="Times New Roman" w:eastAsia="Times New Roman" w:hAnsi="Times New Roman" w:cs="Times New Roman"/>
          <w:color w:val="000000"/>
          <w:sz w:val="24"/>
          <w:szCs w:val="24"/>
          <w:lang w:eastAsia="it-IT"/>
        </w:rPr>
        <w:t>Si sono costituiti in giudizio il Presidente del Consiglio dei Ministri, assistito dall'Avvocatura generale dello Stato, e la difesa del Ferretti, con atti di intervento e deduzioni depositati il 30 dicembre 1964.</w:t>
      </w:r>
    </w:p>
    <w:p w:rsidR="00F92915" w:rsidRPr="00F92915" w:rsidRDefault="00F92915" w:rsidP="00F92915">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F92915">
        <w:rPr>
          <w:rFonts w:ascii="Times New Roman" w:eastAsia="Times New Roman" w:hAnsi="Times New Roman" w:cs="Times New Roman"/>
          <w:color w:val="000000"/>
          <w:sz w:val="24"/>
          <w:szCs w:val="24"/>
          <w:lang w:eastAsia="it-IT"/>
        </w:rPr>
        <w:lastRenderedPageBreak/>
        <w:t>L'Avvocatura dello Stato rileva, innanzi tutto, che, secondo la giurisprudenza della Corte costituzionale, l'art. 27, primo comma, della Costituzione si limita a fissare il divieto della responsabilità penale per fatto altrui, "senza alcun riferimento al divieto della cosiddetta responsabilità oggettiva" (sentenza n. 107 del 1957). Osserva inoltre che la fattispecie prevista da tale norma non potrebbe mai risolversi in una ipotesi di responsabilità per fatto altrui, in quanto la norma richiede che fra l'azione e l'omissione del concorrente e l'evento diverso o più grave di quello da lui voluto sussista un rapporto di conseguenzialità.</w:t>
      </w:r>
    </w:p>
    <w:p w:rsidR="00F92915" w:rsidRPr="00F92915" w:rsidRDefault="00F92915" w:rsidP="00F92915">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F92915">
        <w:rPr>
          <w:rFonts w:ascii="Times New Roman" w:eastAsia="Times New Roman" w:hAnsi="Times New Roman" w:cs="Times New Roman"/>
          <w:color w:val="000000"/>
          <w:sz w:val="24"/>
          <w:szCs w:val="24"/>
          <w:lang w:eastAsia="it-IT"/>
        </w:rPr>
        <w:t>L'Avvocatura conclude, pertanto, per il rigetto della eccezione di legittimità.</w:t>
      </w:r>
    </w:p>
    <w:p w:rsidR="00F92915" w:rsidRPr="00F92915" w:rsidRDefault="00F92915" w:rsidP="00F92915">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F92915">
        <w:rPr>
          <w:rFonts w:ascii="Times New Roman" w:eastAsia="Times New Roman" w:hAnsi="Times New Roman" w:cs="Times New Roman"/>
          <w:color w:val="000000"/>
          <w:sz w:val="24"/>
          <w:szCs w:val="24"/>
          <w:lang w:eastAsia="it-IT"/>
        </w:rPr>
        <w:t>La difesa del Ferretti, nel costituirsi in giudizio, si è brevemente riportata ai motivi della ordinanza di rinvio.</w:t>
      </w:r>
    </w:p>
    <w:p w:rsidR="00F92915" w:rsidRPr="00F92915" w:rsidRDefault="00F92915" w:rsidP="00F92915">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F92915">
        <w:rPr>
          <w:rFonts w:ascii="Times New Roman" w:eastAsia="Times New Roman" w:hAnsi="Times New Roman" w:cs="Times New Roman"/>
          <w:color w:val="000000"/>
          <w:sz w:val="24"/>
          <w:szCs w:val="24"/>
          <w:lang w:eastAsia="it-IT"/>
        </w:rPr>
        <w:t>Una esposizione più ampia dei propri argomenti si rinviene nella memoria depositata il 21 gennaio 1965.</w:t>
      </w:r>
    </w:p>
    <w:p w:rsidR="00F92915" w:rsidRPr="00F92915" w:rsidRDefault="00F92915" w:rsidP="00F92915">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F92915">
        <w:rPr>
          <w:rFonts w:ascii="Times New Roman" w:eastAsia="Times New Roman" w:hAnsi="Times New Roman" w:cs="Times New Roman"/>
          <w:color w:val="000000"/>
          <w:sz w:val="24"/>
          <w:szCs w:val="24"/>
          <w:lang w:eastAsia="it-IT"/>
        </w:rPr>
        <w:t>La difesa fa precedere alcune considerazioni sulla interpretazione da darsi all'art. 27, primo comma, della Costituzione e, sul punto, giunge alla conclusione che "la ragion d'essere del divieto della responsabilità per fatto altrui è la ' stessa' che sta a base del divieto della responsabilità per fatto proprio non colpevole". Di qui - ad avviso della difesa - la illegittimità costituzionale della norma impugnata, nel caso si voglia ritenere che questa preveda una ipotesi di responsabilità oggettiva.</w:t>
      </w:r>
    </w:p>
    <w:p w:rsidR="00F92915" w:rsidRPr="00F92915" w:rsidRDefault="00F92915" w:rsidP="00F92915">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F92915">
        <w:rPr>
          <w:rFonts w:ascii="Times New Roman" w:eastAsia="Times New Roman" w:hAnsi="Times New Roman" w:cs="Times New Roman"/>
          <w:color w:val="000000"/>
          <w:sz w:val="24"/>
          <w:szCs w:val="24"/>
          <w:lang w:eastAsia="it-IT"/>
        </w:rPr>
        <w:t>Ma - sempre secondo la difesa - l'art. 116 prevede in realtà una ipotesi di responsabilità per fatto altrui.</w:t>
      </w:r>
    </w:p>
    <w:p w:rsidR="00F92915" w:rsidRPr="00F92915" w:rsidRDefault="00F92915" w:rsidP="00F92915">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F92915">
        <w:rPr>
          <w:rFonts w:ascii="Times New Roman" w:eastAsia="Times New Roman" w:hAnsi="Times New Roman" w:cs="Times New Roman"/>
          <w:color w:val="000000"/>
          <w:sz w:val="24"/>
          <w:szCs w:val="24"/>
          <w:lang w:eastAsia="it-IT"/>
        </w:rPr>
        <w:t>Esso realizzerebbe "addirittura un caso di responsabilità per fatto altrui, in senso fisico, nel senso cioè, che il fatto appartenente esclusivamente ad un concorrente è posto a carico anche degli altri concorrenti, che nulla hanno operato in quel senso".</w:t>
      </w:r>
    </w:p>
    <w:p w:rsidR="00F92915" w:rsidRPr="00F92915" w:rsidRDefault="00F92915" w:rsidP="00F92915">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F92915">
        <w:rPr>
          <w:rFonts w:ascii="Times New Roman" w:eastAsia="Times New Roman" w:hAnsi="Times New Roman" w:cs="Times New Roman"/>
          <w:color w:val="000000"/>
          <w:sz w:val="24"/>
          <w:szCs w:val="24"/>
          <w:lang w:eastAsia="it-IT"/>
        </w:rPr>
        <w:t>Nello stesso ordine di idee si rileva che "solo il dolo e la colpa possono ricollegare a un soggetto il fatto di un terzo, un'attività non realizzata dal soggetto stesso, un evento diverso da quello voluto", mentre "se taluno si è limitato a porre la causa senza volere l'effetto, il fatto suo è solo quello che si concreta nella causa; e di quel che segue potrà rispondere solo se vi è colpa".</w:t>
      </w:r>
    </w:p>
    <w:p w:rsidR="00F92915" w:rsidRPr="00F92915" w:rsidRDefault="00F92915" w:rsidP="00F92915">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F92915">
        <w:rPr>
          <w:rFonts w:ascii="Times New Roman" w:eastAsia="Times New Roman" w:hAnsi="Times New Roman" w:cs="Times New Roman"/>
          <w:color w:val="000000"/>
          <w:sz w:val="24"/>
          <w:szCs w:val="24"/>
          <w:lang w:eastAsia="it-IT"/>
        </w:rPr>
        <w:t>Con memoria, depositata il 21 gennaio 1965, l'Avvocatura dello Stato ribadisce le argomentazioni dedotte nell'atto di costituzione.</w:t>
      </w:r>
    </w:p>
    <w:p w:rsidR="00F92915" w:rsidRPr="00F92915" w:rsidRDefault="00F92915" w:rsidP="00F92915">
      <w:pPr>
        <w:spacing w:after="0" w:line="240" w:lineRule="auto"/>
        <w:rPr>
          <w:rFonts w:ascii="Times New Roman" w:eastAsia="Times New Roman" w:hAnsi="Times New Roman" w:cs="Times New Roman"/>
          <w:sz w:val="24"/>
          <w:szCs w:val="24"/>
          <w:lang w:eastAsia="it-IT"/>
        </w:rPr>
      </w:pPr>
      <w:bookmarkStart w:id="1" w:name="diritto"/>
      <w:bookmarkEnd w:id="1"/>
    </w:p>
    <w:p w:rsidR="00F92915" w:rsidRPr="00F92915" w:rsidRDefault="00F92915" w:rsidP="00F92915">
      <w:pPr>
        <w:shd w:val="clear" w:color="auto" w:fill="FFFFFF"/>
        <w:spacing w:before="284" w:after="284" w:line="240" w:lineRule="auto"/>
        <w:jc w:val="center"/>
        <w:textAlignment w:val="baseline"/>
        <w:rPr>
          <w:rFonts w:ascii="Times New Roman" w:eastAsia="Times New Roman" w:hAnsi="Times New Roman" w:cs="Times New Roman"/>
          <w:i/>
          <w:iCs/>
          <w:color w:val="000000"/>
          <w:sz w:val="24"/>
          <w:szCs w:val="24"/>
          <w:lang w:eastAsia="it-IT"/>
        </w:rPr>
      </w:pPr>
      <w:r w:rsidRPr="00F92915">
        <w:rPr>
          <w:rFonts w:ascii="Times New Roman" w:eastAsia="Times New Roman" w:hAnsi="Times New Roman" w:cs="Times New Roman"/>
          <w:i/>
          <w:iCs/>
          <w:color w:val="000000"/>
          <w:sz w:val="24"/>
          <w:szCs w:val="24"/>
          <w:lang w:eastAsia="it-IT"/>
        </w:rPr>
        <w:t>Considerato in diritto:</w:t>
      </w:r>
    </w:p>
    <w:p w:rsidR="00F92915" w:rsidRPr="00F92915" w:rsidRDefault="00F92915" w:rsidP="00F92915">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F92915">
        <w:rPr>
          <w:rFonts w:ascii="Times New Roman" w:eastAsia="Times New Roman" w:hAnsi="Times New Roman" w:cs="Times New Roman"/>
          <w:color w:val="000000"/>
          <w:sz w:val="24"/>
          <w:szCs w:val="24"/>
          <w:lang w:eastAsia="it-IT"/>
        </w:rPr>
        <w:t>L'ordinanza della Corte di assise di Roma ravvisa nella norma dell'art. 116 del Codice penale una "ipotesi di concorso a titolo di responsabilità oggettiva, per mero rapporto di causalità materiale, tra l'evento non voluto e l'azione od omissione dell'imputato"; e soggiunge che tale responsabilità sarebbe "ascritta per fatto non proprio", e quindi in contrasto con l'art. 27, primo comma, della Costituzione, cioè col principio della personalità della responsabilità penale.</w:t>
      </w:r>
    </w:p>
    <w:p w:rsidR="00F92915" w:rsidRPr="00F92915" w:rsidRDefault="00F92915" w:rsidP="00F92915">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F92915">
        <w:rPr>
          <w:rFonts w:ascii="Times New Roman" w:eastAsia="Times New Roman" w:hAnsi="Times New Roman" w:cs="Times New Roman"/>
          <w:color w:val="000000"/>
          <w:sz w:val="24"/>
          <w:szCs w:val="24"/>
          <w:lang w:eastAsia="it-IT"/>
        </w:rPr>
        <w:t>Ferma rimanendo la giurisprudenza di questa Corte secondo la quale la responsabilità oggettiva non è responsabilità per fatto altrui, è da ritenere che con l'art. 116 del Codice penale, diversamente da quanto si afferma nell'ordinanza, non si versi nella ipotesi della responsabilità oggettiva, in quanto, secondo la interpretazione che negli ultimi anni, in numerose sentenze, ha data la Corte di cassazione, e che questa Corte ritiene di condividere, è necessaria, per questa particolare forma di responsabilità penale, la presenza anche di un elemento soggettivo.</w:t>
      </w:r>
    </w:p>
    <w:p w:rsidR="00F92915" w:rsidRPr="00F92915" w:rsidRDefault="00F92915" w:rsidP="00F92915">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F92915">
        <w:rPr>
          <w:rFonts w:ascii="Times New Roman" w:eastAsia="Times New Roman" w:hAnsi="Times New Roman" w:cs="Times New Roman"/>
          <w:color w:val="000000"/>
          <w:sz w:val="24"/>
          <w:szCs w:val="24"/>
          <w:lang w:eastAsia="it-IT"/>
        </w:rPr>
        <w:t>Le interpretazioni immediatamente successive alla entrata in vigore del Codice furono strettamente influenzate dalla formulazione letterale della nuova disposizione; e ne derivarono per un certo tempo affermazioni piuttosto decise del principio della responsabilità oggettiva come fondamento della disposizione stessa. Tuttavia questa interpretazione non mancò di suscitare, fin dal principio, vive obiezioni.</w:t>
      </w:r>
    </w:p>
    <w:p w:rsidR="00F92915" w:rsidRPr="00F92915" w:rsidRDefault="00F92915" w:rsidP="00F92915">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F92915">
        <w:rPr>
          <w:rFonts w:ascii="Times New Roman" w:eastAsia="Times New Roman" w:hAnsi="Times New Roman" w:cs="Times New Roman"/>
          <w:color w:val="000000"/>
          <w:sz w:val="24"/>
          <w:szCs w:val="24"/>
          <w:lang w:eastAsia="it-IT"/>
        </w:rPr>
        <w:t xml:space="preserve">Sebbene i suoi sostenitori abbiano sempre tentato di attenuarne in certa misura la portata, è innegabile che, a voler assumere come fondamento della responsabilità ex art. 116 unicamente il rapporto di causalità materiale, non si potrebbe, a stretto rigore, stabilito un tale rapporto, sfuggire a </w:t>
      </w:r>
      <w:r w:rsidRPr="00F92915">
        <w:rPr>
          <w:rFonts w:ascii="Times New Roman" w:eastAsia="Times New Roman" w:hAnsi="Times New Roman" w:cs="Times New Roman"/>
          <w:color w:val="000000"/>
          <w:sz w:val="24"/>
          <w:szCs w:val="24"/>
          <w:lang w:eastAsia="it-IT"/>
        </w:rPr>
        <w:lastRenderedPageBreak/>
        <w:t>talune estreme conseguenze: a quella, soprattutto, di dover imputare all'agente, solo perché materiale conseguenza della sua azione, un reato non soltanto diverso o più grave di quello voluto, ma anche del tutto al di fuori, per sua natura, da ciò che sarebbe un prevedibile omogeneo sviluppo dell'azione concordata. La interpretazione dell'art. 116 in senso rigidamente oggettivo è pertanto apparsa giustamente alla Cassazione non conforme al vero spirito della norma, venendo a creare una forma di responsabilità del tutto contrastante col sistema e produttiva, oltre tutto, di conseguenze penali di sproporzionata gravità.</w:t>
      </w:r>
    </w:p>
    <w:p w:rsidR="00F92915" w:rsidRPr="00F92915" w:rsidRDefault="00F92915" w:rsidP="00F92915">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F92915">
        <w:rPr>
          <w:rFonts w:ascii="Times New Roman" w:eastAsia="Times New Roman" w:hAnsi="Times New Roman" w:cs="Times New Roman"/>
          <w:color w:val="000000"/>
          <w:sz w:val="24"/>
          <w:szCs w:val="24"/>
          <w:lang w:eastAsia="it-IT"/>
        </w:rPr>
        <w:t>Di qui il graduale manifestarsi della tendenza a riconoscere nella responsabilità ex art. 116 un coefficiente di partecipazione anche psichica: tendenza che ha poi trovato negli ultimi anni, come si è detto, costante e decisa affermazione nella giurisprudenza. Né ciò può attribuirsi a una diversione tardiva da quella che fu la originaria interpretazione, in quanto significativi precedenti nello stesso senso si riscontrano in una parte notevole della dottrina sin dai primi anni dall'entrata in vigore del Codice, e traccia evidente ne presentano gli stessi lavori preparatori. Già, infatti, nella Relazione sul testo definitivo (pag. 71) si avvertiva che, "chi coopera ad un'attività criminosa può e deve rappresentarsi la possibilità che il socio commetta un reato diverso da quello voluto".</w:t>
      </w:r>
    </w:p>
    <w:p w:rsidR="00F92915" w:rsidRPr="00F92915" w:rsidRDefault="00F92915" w:rsidP="00F92915">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F92915">
        <w:rPr>
          <w:rFonts w:ascii="Times New Roman" w:eastAsia="Times New Roman" w:hAnsi="Times New Roman" w:cs="Times New Roman"/>
          <w:color w:val="000000"/>
          <w:sz w:val="24"/>
          <w:szCs w:val="24"/>
          <w:lang w:eastAsia="it-IT"/>
        </w:rPr>
        <w:t>La interpretazione che in definitiva si è affermata nella giurisprudenza, pur tra qualche difformità e incertezza di formulazione, esige, sostanzialmente, come base della responsabilità ex art. 116 del Codice penale, la sussistenza non soltanto del rapporto di causalità materiale, ma anche di un rapporto di causalità psichica, concepito nel senso che il reato diverso o più grave commesso dal concorrente debba potere rappresentarsi alla psiche dell'agente, nell'ordinario svolgersi e concatenarsi dei fatti umani, come uno sviluppo logicamente prevedibile di quello voluto, affermandosi in tal modo la necessaria presenza anche di un coefficiente di colpevolezza.</w:t>
      </w:r>
    </w:p>
    <w:p w:rsidR="00F92915" w:rsidRPr="00F92915" w:rsidRDefault="00F92915" w:rsidP="00F92915">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F92915">
        <w:rPr>
          <w:rFonts w:ascii="Times New Roman" w:eastAsia="Times New Roman" w:hAnsi="Times New Roman" w:cs="Times New Roman"/>
          <w:color w:val="000000"/>
          <w:sz w:val="24"/>
          <w:szCs w:val="24"/>
          <w:lang w:eastAsia="it-IT"/>
        </w:rPr>
        <w:t>Tale interpretazione questa Corte, accogliendo i motivi che la giurisprudenza ne ha via via esposti e sviluppati, ritiene di dover pienamente condividere, escludendo con ciò che l'art. 116 del Codice penale importi una violazione del principio della personalità della responsabilità penale: principio che nella partecipazione psichica dell'agente al fatto trova la sua massima affermazione. Essendo ciò sufficiente per riconoscere infondata la questione proposta, non è compito di questa Corte il delimitare particolarmente la natura e gli aspetti del coefficiente di colpevolezza che ricorre nella fattispecie dell'art. 116, né lo stabilire se dalla semplice colpa esso possa addirittura assurgere alla forma dolosa, nel qual caso, è anche dubbio che si rientri nella ipotesi del predetto art. 116.</w:t>
      </w:r>
    </w:p>
    <w:p w:rsidR="00F92915" w:rsidRPr="00925B9E" w:rsidRDefault="00F92915" w:rsidP="00925B9E">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F92915">
        <w:rPr>
          <w:rFonts w:ascii="Times New Roman" w:eastAsia="Times New Roman" w:hAnsi="Times New Roman" w:cs="Times New Roman"/>
          <w:color w:val="000000"/>
          <w:sz w:val="24"/>
          <w:szCs w:val="24"/>
          <w:lang w:eastAsia="it-IT"/>
        </w:rPr>
        <w:t>Ciò che invece questa Corte ritiene di dover rilevare è che le incertezze e i contrasti suscitati dalla disposizione dell'art. 116, sebbene da ultimo avviati dalla giurisprudenza a una più equilibrata ed esatta soluzione, non possono dirsi del tutto dissipati nella coscienza sociale e giuridica: onde la opportunità di un intervento del legislatore, al fine di stabilire se la norma in questione debba rimanere nel nostro ordinamento e, in caso positivo, quali esattamente debbano esserne il fondamento e i limiti, e in quali termini, inoltre, debba realizzarsi una logica coordinazione della norma stessa con tutto il sistema e con norme analoghe, in particolare con quella dell'art. 83 del Codice penale.</w:t>
      </w:r>
      <w:bookmarkStart w:id="2" w:name="dispositivo"/>
      <w:bookmarkEnd w:id="2"/>
    </w:p>
    <w:p w:rsidR="00F92915" w:rsidRPr="00F92915" w:rsidRDefault="00F92915" w:rsidP="00F92915">
      <w:pPr>
        <w:shd w:val="clear" w:color="auto" w:fill="FFFFFF"/>
        <w:spacing w:before="567" w:after="0" w:line="240" w:lineRule="auto"/>
        <w:jc w:val="center"/>
        <w:textAlignment w:val="baseline"/>
        <w:rPr>
          <w:rFonts w:ascii="Times New Roman" w:eastAsia="Times New Roman" w:hAnsi="Times New Roman" w:cs="Times New Roman"/>
          <w:smallCaps/>
          <w:color w:val="000000"/>
          <w:sz w:val="20"/>
          <w:szCs w:val="20"/>
          <w:lang w:eastAsia="it-IT"/>
        </w:rPr>
      </w:pPr>
      <w:r w:rsidRPr="00F92915">
        <w:rPr>
          <w:rFonts w:ascii="Times New Roman" w:eastAsia="Times New Roman" w:hAnsi="Times New Roman" w:cs="Times New Roman"/>
          <w:smallCaps/>
          <w:color w:val="000000"/>
          <w:sz w:val="20"/>
          <w:szCs w:val="20"/>
          <w:lang w:eastAsia="it-IT"/>
        </w:rPr>
        <w:t>Per Questi Motivi</w:t>
      </w:r>
    </w:p>
    <w:p w:rsidR="00F92915" w:rsidRPr="00F92915" w:rsidRDefault="00F92915" w:rsidP="00F92915">
      <w:pPr>
        <w:shd w:val="clear" w:color="auto" w:fill="FFFFFF"/>
        <w:spacing w:before="170" w:after="284" w:line="240" w:lineRule="auto"/>
        <w:jc w:val="center"/>
        <w:textAlignment w:val="baseline"/>
        <w:rPr>
          <w:rFonts w:ascii="Times New Roman" w:eastAsia="Times New Roman" w:hAnsi="Times New Roman" w:cs="Times New Roman"/>
          <w:caps/>
          <w:color w:val="000000"/>
          <w:sz w:val="28"/>
          <w:szCs w:val="28"/>
          <w:lang w:eastAsia="it-IT"/>
        </w:rPr>
      </w:pPr>
      <w:r w:rsidRPr="00F92915">
        <w:rPr>
          <w:rFonts w:ascii="Times New Roman" w:eastAsia="Times New Roman" w:hAnsi="Times New Roman" w:cs="Times New Roman"/>
          <w:caps/>
          <w:color w:val="000000"/>
          <w:sz w:val="28"/>
          <w:szCs w:val="28"/>
          <w:lang w:eastAsia="it-IT"/>
        </w:rPr>
        <w:t>LA CORTE COSTITUZIONALE</w:t>
      </w:r>
    </w:p>
    <w:p w:rsidR="00F92915" w:rsidRPr="00F92915" w:rsidRDefault="00F92915" w:rsidP="00F92915">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F92915">
        <w:rPr>
          <w:rFonts w:ascii="inherit" w:eastAsia="Times New Roman" w:hAnsi="inherit" w:cs="Times New Roman"/>
          <w:i/>
          <w:iCs/>
          <w:color w:val="000000"/>
          <w:sz w:val="24"/>
          <w:szCs w:val="24"/>
          <w:bdr w:val="none" w:sz="0" w:space="0" w:color="auto" w:frame="1"/>
          <w:lang w:eastAsia="it-IT"/>
        </w:rPr>
        <w:t>dichiara</w:t>
      </w:r>
      <w:r w:rsidRPr="00F92915">
        <w:rPr>
          <w:rFonts w:ascii="Times New Roman" w:eastAsia="Times New Roman" w:hAnsi="Times New Roman" w:cs="Times New Roman"/>
          <w:color w:val="000000"/>
          <w:sz w:val="24"/>
          <w:szCs w:val="24"/>
          <w:lang w:eastAsia="it-IT"/>
        </w:rPr>
        <w:t> infondata, nei sensi di cui in motivazione, la questione, sollevata dalla Corte di assise di Roma con ordinanza del 20 ottobre 1964, sulla legittimità costituzionale dell'art. 116 del Codice penale, in riferimento all'art. 27, primo comma, della Costituzione.</w:t>
      </w:r>
    </w:p>
    <w:p w:rsidR="00F92915" w:rsidRPr="00925B9E" w:rsidRDefault="00F92915" w:rsidP="00925B9E">
      <w:pPr>
        <w:shd w:val="clear" w:color="auto" w:fill="FFFFFF"/>
        <w:spacing w:after="113" w:line="240" w:lineRule="auto"/>
        <w:ind w:firstLine="397"/>
        <w:jc w:val="both"/>
        <w:textAlignment w:val="baseline"/>
        <w:rPr>
          <w:rFonts w:ascii="Times New Roman" w:eastAsia="Times New Roman" w:hAnsi="Times New Roman" w:cs="Times New Roman"/>
          <w:color w:val="000000"/>
          <w:sz w:val="24"/>
          <w:szCs w:val="24"/>
          <w:lang w:eastAsia="it-IT"/>
        </w:rPr>
      </w:pPr>
      <w:r w:rsidRPr="00F92915">
        <w:rPr>
          <w:rFonts w:ascii="Times New Roman" w:eastAsia="Times New Roman" w:hAnsi="Times New Roman" w:cs="Times New Roman"/>
          <w:color w:val="000000"/>
          <w:sz w:val="24"/>
          <w:szCs w:val="24"/>
          <w:lang w:eastAsia="it-IT"/>
        </w:rPr>
        <w:t>Così deciso in Roma, nella sede della Corte costituzionale, Palazzo della Consulta, il 13 maggio 1965.</w:t>
      </w:r>
      <w:bookmarkStart w:id="3" w:name="_GoBack"/>
      <w:bookmarkEnd w:id="3"/>
    </w:p>
    <w:sectPr w:rsidR="00F92915" w:rsidRPr="00925B9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915"/>
    <w:rsid w:val="00925B9E"/>
    <w:rsid w:val="00F9291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D861"/>
  <w15:chartTrackingRefBased/>
  <w15:docId w15:val="{3D10D12A-72B8-4344-B012-A4A7925C3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F92915"/>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6743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1610</Words>
  <Characters>9180</Characters>
  <Application>Microsoft Office Word</Application>
  <DocSecurity>0</DocSecurity>
  <Lines>76</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Pecorella</dc:creator>
  <cp:keywords/>
  <dc:description/>
  <cp:lastModifiedBy>Claudia Pecorella</cp:lastModifiedBy>
  <cp:revision>2</cp:revision>
  <cp:lastPrinted>2018-09-15T17:18:00Z</cp:lastPrinted>
  <dcterms:created xsi:type="dcterms:W3CDTF">2018-09-15T17:14:00Z</dcterms:created>
  <dcterms:modified xsi:type="dcterms:W3CDTF">2018-09-15T17:19:00Z</dcterms:modified>
</cp:coreProperties>
</file>