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E07C" w14:textId="1F17126E" w:rsidR="008F61DA" w:rsidRDefault="000843F5">
      <w:r w:rsidRPr="000843F5">
        <w:rPr>
          <w:noProof/>
        </w:rPr>
        <w:drawing>
          <wp:inline distT="0" distB="0" distL="0" distR="0" wp14:anchorId="532AD10A" wp14:editId="2CA246A0">
            <wp:extent cx="2876951" cy="11241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76951" cy="1124107"/>
                    </a:xfrm>
                    <a:prstGeom prst="rect">
                      <a:avLst/>
                    </a:prstGeom>
                  </pic:spPr>
                </pic:pic>
              </a:graphicData>
            </a:graphic>
          </wp:inline>
        </w:drawing>
      </w:r>
    </w:p>
    <w:p w14:paraId="4D38DA94" w14:textId="77777777" w:rsidR="000843F5" w:rsidRPr="000843F5" w:rsidRDefault="000843F5" w:rsidP="006D704D">
      <w:pPr>
        <w:shd w:val="clear" w:color="auto" w:fill="FFFFFF" w:themeFill="background1"/>
        <w:spacing w:after="0" w:line="240" w:lineRule="auto"/>
        <w:jc w:val="both"/>
        <w:textAlignment w:val="baseline"/>
        <w:outlineLvl w:val="0"/>
        <w:rPr>
          <w:rFonts w:ascii="Georgia" w:eastAsia="Times New Roman" w:hAnsi="Georgia" w:cs="Times New Roman"/>
          <w:color w:val="222222"/>
          <w:kern w:val="36"/>
          <w:sz w:val="48"/>
          <w:szCs w:val="48"/>
          <w:lang w:eastAsia="fr-FR"/>
        </w:rPr>
      </w:pPr>
      <w:r w:rsidRPr="000843F5">
        <w:rPr>
          <w:rFonts w:ascii="Georgia" w:eastAsia="Times New Roman" w:hAnsi="Georgia" w:cs="Times New Roman"/>
          <w:color w:val="222222"/>
          <w:kern w:val="36"/>
          <w:sz w:val="48"/>
          <w:szCs w:val="48"/>
          <w:lang w:eastAsia="fr-FR"/>
        </w:rPr>
        <w:t>ISR : crise de croissance pour l'investissement responsable</w:t>
      </w:r>
    </w:p>
    <w:p w14:paraId="19264F30" w14:textId="77777777" w:rsidR="000843F5" w:rsidRPr="000843F5" w:rsidRDefault="000843F5" w:rsidP="006D704D">
      <w:pPr>
        <w:shd w:val="clear" w:color="auto" w:fill="FFFFFF" w:themeFill="background1"/>
        <w:spacing w:after="0" w:line="240" w:lineRule="auto"/>
        <w:jc w:val="both"/>
        <w:rPr>
          <w:rFonts w:ascii="Arial" w:eastAsia="Times New Roman" w:hAnsi="Arial" w:cs="Arial"/>
          <w:color w:val="222222"/>
          <w:sz w:val="24"/>
          <w:szCs w:val="24"/>
          <w:lang w:eastAsia="fr-FR"/>
        </w:rPr>
      </w:pPr>
      <w:r w:rsidRPr="000843F5">
        <w:rPr>
          <w:rFonts w:ascii="Arial" w:eastAsia="Times New Roman" w:hAnsi="Arial" w:cs="Arial"/>
          <w:noProof/>
          <w:color w:val="222222"/>
          <w:sz w:val="24"/>
          <w:szCs w:val="24"/>
          <w:bdr w:val="none" w:sz="0" w:space="0" w:color="auto" w:frame="1"/>
          <w:lang w:eastAsia="fr-FR"/>
        </w:rPr>
        <w:drawing>
          <wp:inline distT="0" distB="0" distL="0" distR="0" wp14:anchorId="56BFE737" wp14:editId="42D99709">
            <wp:extent cx="4769393" cy="2600909"/>
            <wp:effectExtent l="0" t="0" r="0" b="9525"/>
            <wp:docPr id="11" name="Immagine 11" descr="Boris Johnson">
              <a:hlinkClick xmlns:a="http://schemas.openxmlformats.org/drawingml/2006/main" r:id="rId8" tooltip="&quot;ISR : crise de croissance pour l'investissement respons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ris Johnson">
                      <a:hlinkClick r:id="rId8" tooltip="&quot;ISR : crise de croissance pour l'investissement responsable&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9464" cy="2622761"/>
                    </a:xfrm>
                    <a:prstGeom prst="rect">
                      <a:avLst/>
                    </a:prstGeom>
                    <a:noFill/>
                    <a:ln>
                      <a:noFill/>
                    </a:ln>
                  </pic:spPr>
                </pic:pic>
              </a:graphicData>
            </a:graphic>
          </wp:inline>
        </w:drawing>
      </w:r>
    </w:p>
    <w:p w14:paraId="6DB89BBB" w14:textId="77777777" w:rsidR="000843F5" w:rsidRPr="000843F5" w:rsidRDefault="000843F5" w:rsidP="006D704D">
      <w:pPr>
        <w:shd w:val="clear" w:color="auto" w:fill="FFFFFF" w:themeFill="background1"/>
        <w:spacing w:line="240" w:lineRule="auto"/>
        <w:jc w:val="both"/>
        <w:rPr>
          <w:rFonts w:ascii="Arial" w:eastAsia="Times New Roman" w:hAnsi="Arial" w:cs="Arial"/>
          <w:color w:val="222222"/>
          <w:sz w:val="24"/>
          <w:szCs w:val="24"/>
          <w:lang w:eastAsia="fr-FR"/>
        </w:rPr>
      </w:pPr>
      <w:r w:rsidRPr="000843F5">
        <w:rPr>
          <w:rFonts w:ascii="Arial" w:eastAsia="Times New Roman" w:hAnsi="Arial" w:cs="Arial"/>
          <w:color w:val="222222"/>
          <w:sz w:val="24"/>
          <w:szCs w:val="24"/>
          <w:lang w:eastAsia="fr-FR"/>
        </w:rPr>
        <w:t>Boris Johnson, Premier ministre du pays organisateur de la COP 26, s'est fixé comme objectif de faire «des progrès considérables sur le charbon, les voitures, la finance et les arbres». (© A. Parsons/ no 10 downing street)</w:t>
      </w:r>
    </w:p>
    <w:p w14:paraId="5E3B5715" w14:textId="77777777" w:rsidR="000843F5" w:rsidRPr="000843F5" w:rsidRDefault="000843F5" w:rsidP="006D704D">
      <w:pPr>
        <w:shd w:val="clear" w:color="auto" w:fill="FFFFFF" w:themeFill="background1"/>
        <w:spacing w:after="0" w:line="240" w:lineRule="auto"/>
        <w:jc w:val="both"/>
        <w:rPr>
          <w:rFonts w:ascii="Arial" w:eastAsia="Times New Roman" w:hAnsi="Arial" w:cs="Arial"/>
          <w:color w:val="222222"/>
          <w:sz w:val="24"/>
          <w:szCs w:val="24"/>
          <w:lang w:eastAsia="fr-FR"/>
        </w:rPr>
      </w:pPr>
      <w:r w:rsidRPr="000843F5">
        <w:rPr>
          <w:rFonts w:ascii="Arial" w:eastAsia="Times New Roman" w:hAnsi="Arial" w:cs="Arial"/>
          <w:noProof/>
          <w:color w:val="222222"/>
          <w:sz w:val="24"/>
          <w:szCs w:val="24"/>
          <w:lang w:eastAsia="fr-FR"/>
        </w:rPr>
        <w:drawing>
          <wp:inline distT="0" distB="0" distL="0" distR="0" wp14:anchorId="36A22206" wp14:editId="0500021F">
            <wp:extent cx="381000" cy="381000"/>
            <wp:effectExtent l="0" t="0" r="0" b="0"/>
            <wp:docPr id="12" name="Immagine 12" descr="Photo Lionel Garn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to Lionel Garni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78BDD63" w14:textId="10AE1D5E" w:rsidR="000843F5" w:rsidRPr="006D704D" w:rsidRDefault="000843F5" w:rsidP="006D704D">
      <w:pPr>
        <w:shd w:val="clear" w:color="auto" w:fill="FFFFFF" w:themeFill="background1"/>
        <w:spacing w:after="0" w:line="240" w:lineRule="auto"/>
        <w:jc w:val="both"/>
        <w:textAlignment w:val="baseline"/>
        <w:rPr>
          <w:rFonts w:ascii="Arial" w:eastAsia="Times New Roman" w:hAnsi="Arial" w:cs="Arial"/>
          <w:caps/>
          <w:color w:val="222222"/>
          <w:sz w:val="24"/>
          <w:szCs w:val="24"/>
          <w:lang w:eastAsia="fr-FR"/>
        </w:rPr>
      </w:pPr>
      <w:r w:rsidRPr="000843F5">
        <w:rPr>
          <w:rFonts w:ascii="Arial" w:eastAsia="Times New Roman" w:hAnsi="Arial" w:cs="Arial"/>
          <w:color w:val="999999"/>
          <w:sz w:val="24"/>
          <w:szCs w:val="24"/>
          <w:lang w:eastAsia="fr-FR"/>
        </w:rPr>
        <w:t>Par </w:t>
      </w:r>
      <w:r w:rsidRPr="006D704D">
        <w:rPr>
          <w:rFonts w:ascii="Arial" w:eastAsia="Times New Roman" w:hAnsi="Arial" w:cs="Arial"/>
          <w:color w:val="999999"/>
          <w:sz w:val="24"/>
          <w:szCs w:val="24"/>
          <w:bdr w:val="none" w:sz="0" w:space="0" w:color="auto" w:frame="1"/>
          <w:lang w:eastAsia="fr-FR"/>
        </w:rPr>
        <w:t>Lionel Garnier</w:t>
      </w:r>
    </w:p>
    <w:p w14:paraId="1BB8CC73"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Arial" w:eastAsia="Times New Roman" w:hAnsi="Arial" w:cs="Arial"/>
          <w:color w:val="616161"/>
          <w:sz w:val="24"/>
          <w:szCs w:val="24"/>
          <w:lang w:eastAsia="fr-FR"/>
        </w:rPr>
      </w:pPr>
      <w:r w:rsidRPr="000843F5">
        <w:rPr>
          <w:rFonts w:ascii="Arial" w:eastAsia="Times New Roman" w:hAnsi="Arial" w:cs="Arial"/>
          <w:color w:val="616161"/>
          <w:sz w:val="24"/>
          <w:szCs w:val="24"/>
          <w:lang w:eastAsia="fr-FR"/>
        </w:rPr>
        <w:t>Publié le 29/10/2021 à 07:02 - Mis à jour le 29/10/2021 à 07:02</w:t>
      </w:r>
    </w:p>
    <w:p w14:paraId="1B881512"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outlineLvl w:val="1"/>
        <w:rPr>
          <w:rFonts w:ascii="Georgia" w:eastAsia="Times New Roman" w:hAnsi="Georgia" w:cs="Arial"/>
          <w:color w:val="222222"/>
          <w:sz w:val="36"/>
          <w:szCs w:val="36"/>
          <w:lang w:eastAsia="fr-FR"/>
        </w:rPr>
      </w:pPr>
      <w:r w:rsidRPr="000843F5">
        <w:rPr>
          <w:rFonts w:ascii="Georgia" w:eastAsia="Times New Roman" w:hAnsi="Georgia" w:cs="Arial"/>
          <w:color w:val="222222"/>
          <w:sz w:val="36"/>
          <w:szCs w:val="36"/>
          <w:lang w:eastAsia="fr-FR"/>
        </w:rPr>
        <w:t>Des gérants sont accusés d'embellir leur soutien à l'environnement et à la bonne gouvernance. Ils vont devoir faire preuve de transparence pour dissiper les soupçons.</w:t>
      </w:r>
    </w:p>
    <w:p w14:paraId="4E9D1D58"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DWS, Schroders, Deka Bank ou encore Blackrock et Vanguard</w:t>
      </w:r>
      <w:r w:rsidRPr="000843F5">
        <w:rPr>
          <w:rFonts w:ascii="Times New Roman" w:eastAsia="Times New Roman" w:hAnsi="Times New Roman" w:cs="Times New Roman"/>
          <w:color w:val="222222"/>
          <w:sz w:val="24"/>
          <w:szCs w:val="24"/>
          <w:lang w:eastAsia="fr-FR"/>
        </w:rPr>
        <w:t> </w:t>
      </w:r>
      <w:r w:rsidRPr="000843F5">
        <w:rPr>
          <w:rFonts w:ascii="Georgia" w:eastAsia="Times New Roman" w:hAnsi="Georgia" w:cs="Arial"/>
          <w:color w:val="222222"/>
          <w:sz w:val="24"/>
          <w:szCs w:val="24"/>
          <w:lang w:eastAsia="fr-FR"/>
        </w:rPr>
        <w:t xml:space="preserve"> : vous connaissez sans doute les noms de ces spécialistes de la gestion d’actifs mondiale. Mais, identifiez-vous leur récent point commun</w:t>
      </w:r>
      <w:r w:rsidRPr="000843F5">
        <w:rPr>
          <w:rFonts w:ascii="Times New Roman" w:eastAsia="Times New Roman" w:hAnsi="Times New Roman" w:cs="Times New Roman"/>
          <w:color w:val="222222"/>
          <w:sz w:val="24"/>
          <w:szCs w:val="24"/>
          <w:lang w:eastAsia="fr-FR"/>
        </w:rPr>
        <w:t> </w:t>
      </w:r>
      <w:r w:rsidRPr="000843F5">
        <w:rPr>
          <w:rFonts w:ascii="Georgia" w:eastAsia="Times New Roman" w:hAnsi="Georgia" w:cs="Arial"/>
          <w:color w:val="222222"/>
          <w:sz w:val="24"/>
          <w:szCs w:val="24"/>
          <w:lang w:eastAsia="fr-FR"/>
        </w:rPr>
        <w:t>?</w:t>
      </w:r>
    </w:p>
    <w:p w14:paraId="5BEE9A5C"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Tous ont été pris, ces derniers mois, dans des polémiques parfois virulentes sur fond de dénonciation de «greenwashing» – en français, écoblanchiment –, autrement dit l’art de se faire passer plus vert et plus responsable qu’on ne l’est réellement sur le terrain environnemental.</w:t>
      </w:r>
    </w:p>
    <w:p w14:paraId="6BA4A18C" w14:textId="6C242A38" w:rsidR="000843F5" w:rsidRPr="000843F5" w:rsidRDefault="000843F5" w:rsidP="006D704D">
      <w:pPr>
        <w:shd w:val="clear" w:color="auto" w:fill="FFFFFF" w:themeFill="background1"/>
        <w:spacing w:beforeAutospacing="1" w:after="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lastRenderedPageBreak/>
        <w:t>L’accusation a beau toucher avant tout les entreprises, elle déborde sur le monde de la finance et de la gestion. D’ailleurs, le concept lui-même dépasse le seul terrain de l’environnement et de la planète. On parle de «socialwashing» pour les professionnels de la gestion qui enjolivent leur méthodologie d’analyse des performances sociales des entreprises qu'ils détiennent en portefeuille. Et même de «rainbowashing», l’arc-en-ciel de l’</w:t>
      </w:r>
      <w:hyperlink r:id="rId11" w:tgtFrame="_blank" w:history="1">
        <w:r w:rsidRPr="000843F5">
          <w:rPr>
            <w:rFonts w:ascii="Georgia" w:eastAsia="Times New Roman" w:hAnsi="Georgia" w:cs="Arial"/>
            <w:color w:val="222222"/>
            <w:sz w:val="24"/>
            <w:szCs w:val="24"/>
            <w:u w:val="single"/>
            <w:bdr w:val="none" w:sz="0" w:space="0" w:color="auto" w:frame="1"/>
            <w:lang w:eastAsia="fr-FR"/>
          </w:rPr>
          <w:t>ESG</w:t>
        </w:r>
      </w:hyperlink>
      <w:r w:rsidR="00B829ED">
        <w:rPr>
          <w:rFonts w:ascii="Georgia" w:eastAsia="Times New Roman" w:hAnsi="Georgia" w:cs="Arial"/>
          <w:color w:val="222222"/>
          <w:sz w:val="24"/>
          <w:szCs w:val="24"/>
          <w:u w:val="single"/>
          <w:bdr w:val="none" w:sz="0" w:space="0" w:color="auto" w:frame="1"/>
          <w:lang w:eastAsia="fr-FR"/>
        </w:rPr>
        <w:t xml:space="preserve"> (</w:t>
      </w:r>
      <w:r w:rsidR="00B829ED" w:rsidRPr="00B829ED">
        <w:rPr>
          <w:rFonts w:ascii="Arial" w:hAnsi="Arial" w:cs="Arial"/>
          <w:color w:val="FF0000"/>
          <w:shd w:val="clear" w:color="auto" w:fill="FFFFFF"/>
        </w:rPr>
        <w:t>Environmental, Social, and Governance</w:t>
      </w:r>
      <w:r w:rsidR="00B829ED">
        <w:rPr>
          <w:rFonts w:ascii="Arial" w:hAnsi="Arial" w:cs="Arial"/>
          <w:color w:val="202124"/>
          <w:shd w:val="clear" w:color="auto" w:fill="FFFFFF"/>
        </w:rPr>
        <w:t>)</w:t>
      </w:r>
      <w:r w:rsidRPr="000843F5">
        <w:rPr>
          <w:rFonts w:ascii="Georgia" w:eastAsia="Times New Roman" w:hAnsi="Georgia" w:cs="Arial"/>
          <w:color w:val="222222"/>
          <w:sz w:val="24"/>
          <w:szCs w:val="24"/>
          <w:lang w:eastAsia="fr-FR"/>
        </w:rPr>
        <w:t> – avec le vert de l’environnement, le rouge du social et le bleu de la gouvernance – quand l’embellissement englobe ces trois champs de l’extrafinancier.</w:t>
      </w:r>
    </w:p>
    <w:p w14:paraId="25D667CE" w14:textId="56180D2A"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L’épisode le plus récent concerne DWS. Fin août, le numéro deux européen de la gestion, filiale de Deutsche Bank cotée en Bourse, se retrouve sous le coup d’une enquête de la SEC</w:t>
      </w:r>
      <w:r w:rsidR="00B829ED">
        <w:rPr>
          <w:rFonts w:ascii="Georgia" w:eastAsia="Times New Roman" w:hAnsi="Georgia" w:cs="Arial"/>
          <w:color w:val="222222"/>
          <w:sz w:val="24"/>
          <w:szCs w:val="24"/>
          <w:lang w:eastAsia="fr-FR"/>
        </w:rPr>
        <w:t xml:space="preserve"> (</w:t>
      </w:r>
      <w:r w:rsidR="00B829ED" w:rsidRPr="00B829ED">
        <w:rPr>
          <w:rFonts w:ascii="Georgia" w:eastAsia="Times New Roman" w:hAnsi="Georgia" w:cs="Arial"/>
          <w:color w:val="FF0000"/>
          <w:sz w:val="24"/>
          <w:szCs w:val="24"/>
          <w:lang w:eastAsia="fr-FR"/>
        </w:rPr>
        <w:t>Securities and Exchange Commission</w:t>
      </w:r>
      <w:r w:rsidR="00B829ED">
        <w:rPr>
          <w:rFonts w:ascii="Georgia" w:eastAsia="Times New Roman" w:hAnsi="Georgia" w:cs="Arial"/>
          <w:color w:val="222222"/>
          <w:sz w:val="24"/>
          <w:szCs w:val="24"/>
          <w:lang w:eastAsia="fr-FR"/>
        </w:rPr>
        <w:t>)</w:t>
      </w:r>
      <w:r w:rsidRPr="000843F5">
        <w:rPr>
          <w:rFonts w:ascii="Georgia" w:eastAsia="Times New Roman" w:hAnsi="Georgia" w:cs="Arial"/>
          <w:color w:val="222222"/>
          <w:sz w:val="24"/>
          <w:szCs w:val="24"/>
          <w:lang w:eastAsia="fr-FR"/>
        </w:rPr>
        <w:t xml:space="preserve"> américaine et de procureurs locaux. Ils lui reprochent d’avoir enjolivé son engagement responsable en revendiquant 460 milliards d’euros d’encours ESG, soit six fois plus que la réalité…</w:t>
      </w:r>
    </w:p>
    <w:p w14:paraId="2D590BB3"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Malgré le rejet des accusations, DWS a effacé, face à la menace de sanctions, plus d’un milliard d'euros de capitalisation boursière (-12%), un terrain qu’il n’a toujours pas reconquis.</w:t>
      </w:r>
    </w:p>
    <w:p w14:paraId="4C229EE7"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outlineLvl w:val="1"/>
        <w:rPr>
          <w:rFonts w:ascii="Arial" w:eastAsia="Times New Roman" w:hAnsi="Arial" w:cs="Arial"/>
          <w:color w:val="222222"/>
          <w:sz w:val="36"/>
          <w:szCs w:val="36"/>
          <w:lang w:eastAsia="fr-FR"/>
        </w:rPr>
      </w:pPr>
      <w:r w:rsidRPr="000843F5">
        <w:rPr>
          <w:rFonts w:ascii="Arial" w:eastAsia="Times New Roman" w:hAnsi="Arial" w:cs="Arial"/>
          <w:color w:val="222222"/>
          <w:sz w:val="36"/>
          <w:szCs w:val="36"/>
          <w:lang w:eastAsia="fr-FR"/>
        </w:rPr>
        <w:t>40.000 milliards d'euros</w:t>
      </w:r>
    </w:p>
    <w:p w14:paraId="6736EBB1" w14:textId="44D5C94A" w:rsidR="000843F5" w:rsidRPr="000843F5" w:rsidRDefault="000843F5" w:rsidP="006D704D">
      <w:pPr>
        <w:shd w:val="clear" w:color="auto" w:fill="FFFFFF" w:themeFill="background1"/>
        <w:spacing w:beforeAutospacing="1" w:after="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 xml:space="preserve">Symbolique, cet épisode n’est pourtant pas surprenant. Il alimente les vrais et faux procès : </w:t>
      </w:r>
      <w:r w:rsidRPr="001E598E">
        <w:rPr>
          <w:rFonts w:ascii="Georgia" w:eastAsia="Times New Roman" w:hAnsi="Georgia" w:cs="Arial"/>
          <w:color w:val="222222"/>
          <w:sz w:val="24"/>
          <w:szCs w:val="24"/>
          <w:lang w:eastAsia="fr-FR"/>
        </w:rPr>
        <w:t>l’</w:t>
      </w:r>
      <w:hyperlink r:id="rId12" w:tgtFrame="_blank" w:history="1">
        <w:r w:rsidRPr="001E598E">
          <w:rPr>
            <w:rFonts w:ascii="Georgia" w:eastAsia="Times New Roman" w:hAnsi="Georgia" w:cs="Arial"/>
            <w:color w:val="222222"/>
            <w:sz w:val="24"/>
            <w:szCs w:val="24"/>
            <w:bdr w:val="none" w:sz="0" w:space="0" w:color="auto" w:frame="1"/>
            <w:lang w:eastAsia="fr-FR"/>
          </w:rPr>
          <w:t>ISR</w:t>
        </w:r>
      </w:hyperlink>
      <w:r w:rsidR="001E598E" w:rsidRPr="001E598E">
        <w:rPr>
          <w:rFonts w:ascii="Georgia" w:eastAsia="Times New Roman" w:hAnsi="Georgia" w:cs="Arial"/>
          <w:color w:val="222222"/>
          <w:sz w:val="24"/>
          <w:szCs w:val="24"/>
          <w:bdr w:val="none" w:sz="0" w:space="0" w:color="auto" w:frame="1"/>
          <w:lang w:eastAsia="fr-FR"/>
        </w:rPr>
        <w:t xml:space="preserve"> (</w:t>
      </w:r>
      <w:r w:rsidR="001E598E" w:rsidRPr="001E598E">
        <w:rPr>
          <w:rFonts w:ascii="Georgia" w:eastAsia="Times New Roman" w:hAnsi="Georgia" w:cs="Arial"/>
          <w:color w:val="FF0000"/>
          <w:sz w:val="24"/>
          <w:szCs w:val="24"/>
          <w:bdr w:val="none" w:sz="0" w:space="0" w:color="auto" w:frame="1"/>
          <w:lang w:eastAsia="fr-FR"/>
        </w:rPr>
        <w:t>investissement Socialement Responsable</w:t>
      </w:r>
      <w:r w:rsidR="001E598E" w:rsidRPr="001E598E">
        <w:rPr>
          <w:rFonts w:ascii="Georgia" w:eastAsia="Times New Roman" w:hAnsi="Georgia" w:cs="Arial"/>
          <w:color w:val="222222"/>
          <w:sz w:val="24"/>
          <w:szCs w:val="24"/>
          <w:bdr w:val="none" w:sz="0" w:space="0" w:color="auto" w:frame="1"/>
          <w:lang w:eastAsia="fr-FR"/>
        </w:rPr>
        <w:t>)</w:t>
      </w:r>
      <w:r w:rsidRPr="000843F5">
        <w:rPr>
          <w:rFonts w:ascii="Georgia" w:eastAsia="Times New Roman" w:hAnsi="Georgia" w:cs="Arial"/>
          <w:color w:val="222222"/>
          <w:sz w:val="24"/>
          <w:szCs w:val="24"/>
          <w:lang w:eastAsia="fr-FR"/>
        </w:rPr>
        <w:t> serait à la fois trop technique, pas assez transparent, inefficace, tout en étant trop cher au regard des performances obtenues par rapport à la gestion classique.</w:t>
      </w:r>
    </w:p>
    <w:p w14:paraId="40FCD518"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«La sous-performance est un faux procès», plaide Léa Dunand-Chatellet, gérante et directrice de l’ISR chez DNCA Finance.</w:t>
      </w:r>
    </w:p>
    <w:p w14:paraId="3E87D3DC"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Un sentiment partagé</w:t>
      </w:r>
      <w:r w:rsidRPr="000843F5">
        <w:rPr>
          <w:rFonts w:ascii="Times New Roman" w:eastAsia="Times New Roman" w:hAnsi="Times New Roman" w:cs="Times New Roman"/>
          <w:color w:val="222222"/>
          <w:sz w:val="24"/>
          <w:szCs w:val="24"/>
          <w:lang w:eastAsia="fr-FR"/>
        </w:rPr>
        <w:t> </w:t>
      </w:r>
      <w:r w:rsidRPr="000843F5">
        <w:rPr>
          <w:rFonts w:ascii="Georgia" w:eastAsia="Times New Roman" w:hAnsi="Georgia" w:cs="Arial"/>
          <w:color w:val="222222"/>
          <w:sz w:val="24"/>
          <w:szCs w:val="24"/>
          <w:lang w:eastAsia="fr-FR"/>
        </w:rPr>
        <w:t xml:space="preserve">: </w:t>
      </w:r>
      <w:r w:rsidRPr="000843F5">
        <w:rPr>
          <w:rFonts w:ascii="Georgia" w:eastAsia="Times New Roman" w:hAnsi="Georgia" w:cs="Georgia"/>
          <w:color w:val="222222"/>
          <w:sz w:val="24"/>
          <w:szCs w:val="24"/>
          <w:lang w:eastAsia="fr-FR"/>
        </w:rPr>
        <w:t>«</w:t>
      </w:r>
      <w:r w:rsidRPr="000843F5">
        <w:rPr>
          <w:rFonts w:ascii="Georgia" w:eastAsia="Times New Roman" w:hAnsi="Georgia" w:cs="Arial"/>
          <w:color w:val="222222"/>
          <w:sz w:val="24"/>
          <w:szCs w:val="24"/>
          <w:lang w:eastAsia="fr-FR"/>
        </w:rPr>
        <w:t>Depuis dix-huit mois, le premier quintile des fonds d'actions leaders en ESG surperforme de 28% le parcours des 20% les moins bien class</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s</w:t>
      </w:r>
      <w:r w:rsidRPr="000843F5">
        <w:rPr>
          <w:rFonts w:ascii="Georgia" w:eastAsia="Times New Roman" w:hAnsi="Georgia" w:cs="Georgia"/>
          <w:color w:val="222222"/>
          <w:sz w:val="24"/>
          <w:szCs w:val="24"/>
          <w:lang w:eastAsia="fr-FR"/>
        </w:rPr>
        <w:t>»</w:t>
      </w:r>
      <w:r w:rsidRPr="000843F5">
        <w:rPr>
          <w:rFonts w:ascii="Georgia" w:eastAsia="Times New Roman" w:hAnsi="Georgia" w:cs="Arial"/>
          <w:color w:val="222222"/>
          <w:sz w:val="24"/>
          <w:szCs w:val="24"/>
          <w:lang w:eastAsia="fr-FR"/>
        </w:rPr>
        <w:t>, avance Augustin Vincent, responsable de la recherche ESG chez Mandarine Gestion.</w:t>
      </w:r>
    </w:p>
    <w:p w14:paraId="7BD7661A"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D'ailleurs, jamais la démarche n’a suscité autant d’intérêt chez les institutionnels. «L’ISR a pris un essor considérable ces deux dernières années», observe Eric Borremans, directeur de l’investissement responsable chez Pictet. Le nombre de signataires des «Principes pour l’investissement responsable» (PRI), une sorte de code de bonne conduite pour les entreprises et la finance sous l’égide des Nations unies, a été multiplié par quatre en deux ans. Les encours gérés par trois en quatre ans.</w:t>
      </w:r>
    </w:p>
    <w:p w14:paraId="1174E2B8"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L’intégration ESG, c’est-à-dire le recours aux critères extrafinanciers pour gérer un portefeuille, représenterait même près de 40% des actifs financiers gérés dans le monde, selon les estimations de Bloomberg. Dès lors, pas moins de 35.000 à 40.000 milliards d’euros seraient gérés en intégrant, de près ou de loin, des critères extrafinanciers.</w:t>
      </w:r>
    </w:p>
    <w:p w14:paraId="4C2A5647"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outlineLvl w:val="1"/>
        <w:rPr>
          <w:rFonts w:ascii="Arial" w:eastAsia="Times New Roman" w:hAnsi="Arial" w:cs="Arial"/>
          <w:color w:val="222222"/>
          <w:sz w:val="36"/>
          <w:szCs w:val="36"/>
          <w:lang w:eastAsia="fr-FR"/>
        </w:rPr>
      </w:pPr>
      <w:r w:rsidRPr="000843F5">
        <w:rPr>
          <w:rFonts w:ascii="Arial" w:eastAsia="Times New Roman" w:hAnsi="Arial" w:cs="Arial"/>
          <w:color w:val="222222"/>
          <w:sz w:val="36"/>
          <w:szCs w:val="36"/>
          <w:lang w:eastAsia="fr-FR"/>
        </w:rPr>
        <w:t>Deux écoles</w:t>
      </w:r>
    </w:p>
    <w:p w14:paraId="0F3CCCCB" w14:textId="77777777" w:rsidR="000843F5" w:rsidRPr="000843F5" w:rsidRDefault="000843F5" w:rsidP="006D704D">
      <w:pPr>
        <w:shd w:val="clear" w:color="auto" w:fill="FFFFFF" w:themeFill="background1"/>
        <w:spacing w:beforeAutospacing="1" w:after="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Mais «il ne faudrait pas que l’épargnant consente à des frais élevés en investissant en réalité sur des produits classiques à peine modifiés», résumaient dans une tribune récente, publiée dans </w:t>
      </w:r>
      <w:r w:rsidRPr="000843F5">
        <w:rPr>
          <w:rFonts w:ascii="Georgia" w:eastAsia="Times New Roman" w:hAnsi="Georgia" w:cs="Arial"/>
          <w:i/>
          <w:iCs/>
          <w:color w:val="222222"/>
          <w:sz w:val="24"/>
          <w:szCs w:val="24"/>
          <w:bdr w:val="none" w:sz="0" w:space="0" w:color="auto" w:frame="1"/>
          <w:lang w:eastAsia="fr-FR"/>
        </w:rPr>
        <w:t>Les Echos,</w:t>
      </w:r>
      <w:r w:rsidRPr="000843F5">
        <w:rPr>
          <w:rFonts w:ascii="Georgia" w:eastAsia="Times New Roman" w:hAnsi="Georgia" w:cs="Arial"/>
          <w:color w:val="222222"/>
          <w:sz w:val="24"/>
          <w:szCs w:val="24"/>
          <w:lang w:eastAsia="fr-FR"/>
        </w:rPr>
        <w:t xml:space="preserve"> Augustin Landier et David Thesmar, respectivement professeurs à HEC et au MIT. Pour les deux économistes, deux écoles de l’ISR s’affrontent. D’un côté, les </w:t>
      </w:r>
      <w:r w:rsidRPr="000843F5">
        <w:rPr>
          <w:rFonts w:ascii="Georgia" w:eastAsia="Times New Roman" w:hAnsi="Georgia" w:cs="Arial"/>
          <w:color w:val="222222"/>
          <w:sz w:val="24"/>
          <w:szCs w:val="24"/>
          <w:lang w:eastAsia="fr-FR"/>
        </w:rPr>
        <w:lastRenderedPageBreak/>
        <w:t>«conséquentialistes», des investisseurs qui veulent avoir de l’impact et influer sur les projets des entreprises. Une démarche méthodique, d’ingénieur et de mesures des résultats, finalement assez française dans son essence où le champ d’investissement n’est ni blanc, ni noir, mais tout en nuances.</w:t>
      </w:r>
    </w:p>
    <w:p w14:paraId="2A8949E9"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L’autre école, celle des «déontologues», renoue avec l’essence des premières heures de l’«investissement éthique», une finance responsable où on n’investit, selon Landier et Thesmar, «que dans des entreprises qui ont des comportements compatibles avec [ses] valeurs». L’activisme n’est plus bien loin.</w:t>
      </w:r>
    </w:p>
    <w:p w14:paraId="6FE53207" w14:textId="5BC46EEF"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«Aujourd’hui, il n’y a plus grand monde pour ne pas se réclamer de l’ISR», se moque un spécialiste, qui accuse</w:t>
      </w:r>
      <w:r w:rsidRPr="000843F5">
        <w:rPr>
          <w:rFonts w:ascii="Times New Roman" w:eastAsia="Times New Roman" w:hAnsi="Times New Roman" w:cs="Times New Roman"/>
          <w:color w:val="222222"/>
          <w:sz w:val="24"/>
          <w:szCs w:val="24"/>
          <w:lang w:eastAsia="fr-FR"/>
        </w:rPr>
        <w:t> </w:t>
      </w:r>
      <w:r w:rsidRPr="000843F5">
        <w:rPr>
          <w:rFonts w:ascii="Georgia" w:eastAsia="Times New Roman" w:hAnsi="Georgia" w:cs="Arial"/>
          <w:color w:val="222222"/>
          <w:sz w:val="24"/>
          <w:szCs w:val="24"/>
          <w:lang w:eastAsia="fr-FR"/>
        </w:rPr>
        <w:t xml:space="preserve">: </w:t>
      </w:r>
      <w:r w:rsidRPr="000843F5">
        <w:rPr>
          <w:rFonts w:ascii="Georgia" w:eastAsia="Times New Roman" w:hAnsi="Georgia" w:cs="Georgia"/>
          <w:color w:val="222222"/>
          <w:sz w:val="24"/>
          <w:szCs w:val="24"/>
          <w:lang w:eastAsia="fr-FR"/>
        </w:rPr>
        <w:t>«</w:t>
      </w:r>
      <w:r w:rsidRPr="000843F5">
        <w:rPr>
          <w:rFonts w:ascii="Georgia" w:eastAsia="Times New Roman" w:hAnsi="Georgia" w:cs="Arial"/>
          <w:color w:val="222222"/>
          <w:sz w:val="24"/>
          <w:szCs w:val="24"/>
          <w:lang w:eastAsia="fr-FR"/>
        </w:rPr>
        <w:t>L'int</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 xml:space="preserve">gration ESG, </w:t>
      </w:r>
      <w:r w:rsidRPr="000843F5">
        <w:rPr>
          <w:rFonts w:ascii="Georgia" w:eastAsia="Times New Roman" w:hAnsi="Georgia" w:cs="Georgia"/>
          <w:color w:val="222222"/>
          <w:sz w:val="24"/>
          <w:szCs w:val="24"/>
          <w:lang w:eastAsia="fr-FR"/>
        </w:rPr>
        <w:t>ç</w:t>
      </w:r>
      <w:r w:rsidRPr="000843F5">
        <w:rPr>
          <w:rFonts w:ascii="Georgia" w:eastAsia="Times New Roman" w:hAnsi="Georgia" w:cs="Arial"/>
          <w:color w:val="222222"/>
          <w:sz w:val="24"/>
          <w:szCs w:val="24"/>
          <w:lang w:eastAsia="fr-FR"/>
        </w:rPr>
        <w:t>a ne veut strictement rien dire. Un g</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rant peut se revendiquer responsable alors qu</w:t>
      </w:r>
      <w:r w:rsidRPr="000843F5">
        <w:rPr>
          <w:rFonts w:ascii="Georgia" w:eastAsia="Times New Roman" w:hAnsi="Georgia" w:cs="Georgia"/>
          <w:color w:val="222222"/>
          <w:sz w:val="24"/>
          <w:szCs w:val="24"/>
          <w:lang w:eastAsia="fr-FR"/>
        </w:rPr>
        <w:t>’</w:t>
      </w:r>
      <w:r w:rsidRPr="000843F5">
        <w:rPr>
          <w:rFonts w:ascii="Georgia" w:eastAsia="Times New Roman" w:hAnsi="Georgia" w:cs="Arial"/>
          <w:color w:val="222222"/>
          <w:sz w:val="24"/>
          <w:szCs w:val="24"/>
          <w:lang w:eastAsia="fr-FR"/>
        </w:rPr>
        <w:t>il ne dispose dans sa m</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thodologie que de trois pauvres critères extrafinanciers qu’il n’utilisera même pas.» Caricatural</w:t>
      </w:r>
      <w:r w:rsidRPr="000843F5">
        <w:rPr>
          <w:rFonts w:ascii="Times New Roman" w:eastAsia="Times New Roman" w:hAnsi="Times New Roman" w:cs="Times New Roman"/>
          <w:color w:val="222222"/>
          <w:sz w:val="24"/>
          <w:szCs w:val="24"/>
          <w:lang w:eastAsia="fr-FR"/>
        </w:rPr>
        <w:t> </w:t>
      </w:r>
      <w:r w:rsidRPr="000843F5">
        <w:rPr>
          <w:rFonts w:ascii="Georgia" w:eastAsia="Times New Roman" w:hAnsi="Georgia" w:cs="Arial"/>
          <w:color w:val="222222"/>
          <w:sz w:val="24"/>
          <w:szCs w:val="24"/>
          <w:lang w:eastAsia="fr-FR"/>
        </w:rPr>
        <w:t>? Peut-</w:t>
      </w:r>
      <w:r w:rsidRPr="000843F5">
        <w:rPr>
          <w:rFonts w:ascii="Georgia" w:eastAsia="Times New Roman" w:hAnsi="Georgia" w:cs="Georgia"/>
          <w:color w:val="222222"/>
          <w:sz w:val="24"/>
          <w:szCs w:val="24"/>
          <w:lang w:eastAsia="fr-FR"/>
        </w:rPr>
        <w:t>ê</w:t>
      </w:r>
      <w:r w:rsidRPr="000843F5">
        <w:rPr>
          <w:rFonts w:ascii="Georgia" w:eastAsia="Times New Roman" w:hAnsi="Georgia" w:cs="Arial"/>
          <w:color w:val="222222"/>
          <w:sz w:val="24"/>
          <w:szCs w:val="24"/>
          <w:lang w:eastAsia="fr-FR"/>
        </w:rPr>
        <w:t>tre. Mais assez proche de la r</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alit</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 xml:space="preserve"> pour que r</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gulateurs et superviseurs, dont l</w:t>
      </w:r>
      <w:r w:rsidRPr="000843F5">
        <w:rPr>
          <w:rFonts w:ascii="Georgia" w:eastAsia="Times New Roman" w:hAnsi="Georgia" w:cs="Georgia"/>
          <w:color w:val="222222"/>
          <w:sz w:val="24"/>
          <w:szCs w:val="24"/>
          <w:lang w:eastAsia="fr-FR"/>
        </w:rPr>
        <w:t>’</w:t>
      </w:r>
      <w:r w:rsidRPr="000843F5">
        <w:rPr>
          <w:rFonts w:ascii="Georgia" w:eastAsia="Times New Roman" w:hAnsi="Georgia" w:cs="Arial"/>
          <w:color w:val="222222"/>
          <w:sz w:val="24"/>
          <w:szCs w:val="24"/>
          <w:lang w:eastAsia="fr-FR"/>
        </w:rPr>
        <w:t xml:space="preserve">AMF </w:t>
      </w:r>
      <w:r w:rsidR="001E598E" w:rsidRPr="001E598E">
        <w:rPr>
          <w:rFonts w:ascii="Georgia" w:eastAsia="Times New Roman" w:hAnsi="Georgia" w:cs="Arial"/>
          <w:color w:val="222222"/>
          <w:sz w:val="24"/>
          <w:szCs w:val="24"/>
          <w:lang w:eastAsia="fr-FR"/>
        </w:rPr>
        <w:t>(</w:t>
      </w:r>
      <w:r w:rsidR="001E598E" w:rsidRPr="001E598E">
        <w:rPr>
          <w:rFonts w:ascii="Georgia" w:hAnsi="Georgia" w:cs="Times New Roman"/>
          <w:color w:val="FF0000"/>
          <w:sz w:val="24"/>
          <w:szCs w:val="24"/>
          <w:shd w:val="clear" w:color="auto" w:fill="FFFFFF"/>
        </w:rPr>
        <w:t>Autorité des marchés financiers</w:t>
      </w:r>
      <w:r w:rsidR="001E598E" w:rsidRPr="001E598E">
        <w:rPr>
          <w:rFonts w:ascii="Georgia" w:eastAsia="Times New Roman" w:hAnsi="Georgia" w:cs="Arial"/>
          <w:color w:val="222222"/>
          <w:sz w:val="24"/>
          <w:szCs w:val="24"/>
          <w:lang w:eastAsia="fr-FR"/>
        </w:rPr>
        <w:t>)</w:t>
      </w:r>
      <w:r w:rsidR="001E598E">
        <w:rPr>
          <w:rFonts w:ascii="Georgia" w:eastAsia="Times New Roman" w:hAnsi="Georgia" w:cs="Arial"/>
          <w:color w:val="222222"/>
          <w:sz w:val="24"/>
          <w:szCs w:val="24"/>
          <w:lang w:eastAsia="fr-FR"/>
        </w:rPr>
        <w:t xml:space="preserve"> </w:t>
      </w:r>
      <w:r w:rsidRPr="000843F5">
        <w:rPr>
          <w:rFonts w:ascii="Georgia" w:eastAsia="Times New Roman" w:hAnsi="Georgia" w:cs="Arial"/>
          <w:color w:val="222222"/>
          <w:sz w:val="24"/>
          <w:szCs w:val="24"/>
          <w:lang w:eastAsia="fr-FR"/>
        </w:rPr>
        <w:t>c</w:t>
      </w:r>
      <w:r w:rsidRPr="000843F5">
        <w:rPr>
          <w:rFonts w:ascii="Georgia" w:eastAsia="Times New Roman" w:hAnsi="Georgia" w:cs="Georgia"/>
          <w:color w:val="222222"/>
          <w:sz w:val="24"/>
          <w:szCs w:val="24"/>
          <w:lang w:eastAsia="fr-FR"/>
        </w:rPr>
        <w:t>ô</w:t>
      </w:r>
      <w:r w:rsidRPr="000843F5">
        <w:rPr>
          <w:rFonts w:ascii="Georgia" w:eastAsia="Times New Roman" w:hAnsi="Georgia" w:cs="Arial"/>
          <w:color w:val="222222"/>
          <w:sz w:val="24"/>
          <w:szCs w:val="24"/>
          <w:lang w:eastAsia="fr-FR"/>
        </w:rPr>
        <w:t>t</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 xml:space="preserve"> fran</w:t>
      </w:r>
      <w:r w:rsidRPr="000843F5">
        <w:rPr>
          <w:rFonts w:ascii="Georgia" w:eastAsia="Times New Roman" w:hAnsi="Georgia" w:cs="Georgia"/>
          <w:color w:val="222222"/>
          <w:sz w:val="24"/>
          <w:szCs w:val="24"/>
          <w:lang w:eastAsia="fr-FR"/>
        </w:rPr>
        <w:t>ç</w:t>
      </w:r>
      <w:r w:rsidRPr="000843F5">
        <w:rPr>
          <w:rFonts w:ascii="Georgia" w:eastAsia="Times New Roman" w:hAnsi="Georgia" w:cs="Arial"/>
          <w:color w:val="222222"/>
          <w:sz w:val="24"/>
          <w:szCs w:val="24"/>
          <w:lang w:eastAsia="fr-FR"/>
        </w:rPr>
        <w:t>ais, tentent d</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sormais d'y mettre de l</w:t>
      </w:r>
      <w:r w:rsidRPr="000843F5">
        <w:rPr>
          <w:rFonts w:ascii="Georgia" w:eastAsia="Times New Roman" w:hAnsi="Georgia" w:cs="Georgia"/>
          <w:color w:val="222222"/>
          <w:sz w:val="24"/>
          <w:szCs w:val="24"/>
          <w:lang w:eastAsia="fr-FR"/>
        </w:rPr>
        <w:t>’</w:t>
      </w:r>
      <w:r w:rsidRPr="000843F5">
        <w:rPr>
          <w:rFonts w:ascii="Georgia" w:eastAsia="Times New Roman" w:hAnsi="Georgia" w:cs="Arial"/>
          <w:color w:val="222222"/>
          <w:sz w:val="24"/>
          <w:szCs w:val="24"/>
          <w:lang w:eastAsia="fr-FR"/>
        </w:rPr>
        <w:t>ordre.</w:t>
      </w:r>
    </w:p>
    <w:p w14:paraId="46BD3433"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«On peut parler de crise de croissance, acquiesce Léa Dunand-Chatellet. Ce qui ouvre son procès en crédibilité. L’amorce de régulation en 2020-2021 vise à vérifier que ce qui est annoncé est véritablement ce qui est fait.»</w:t>
      </w:r>
    </w:p>
    <w:p w14:paraId="63885387" w14:textId="77777777" w:rsidR="000843F5" w:rsidRPr="000843F5" w:rsidRDefault="000843F5" w:rsidP="006D704D">
      <w:pPr>
        <w:shd w:val="clear" w:color="auto" w:fill="FFFFFF" w:themeFill="background1"/>
        <w:spacing w:beforeAutospacing="1" w:after="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L’Union européenne est ainsi à la manœuvre. Depuis mars, le règlement sur la publication d'informations en matière de durabilité </w:t>
      </w:r>
      <w:r w:rsidRPr="000843F5">
        <w:rPr>
          <w:rFonts w:ascii="Georgia" w:eastAsia="Times New Roman" w:hAnsi="Georgia" w:cs="Arial"/>
          <w:i/>
          <w:iCs/>
          <w:color w:val="222222"/>
          <w:sz w:val="24"/>
          <w:szCs w:val="24"/>
          <w:bdr w:val="none" w:sz="0" w:space="0" w:color="auto" w:frame="1"/>
          <w:lang w:eastAsia="fr-FR"/>
        </w:rPr>
        <w:t>(Sustainable Finance Disclosure Regulation, SFDR)</w:t>
      </w:r>
      <w:r w:rsidRPr="000843F5">
        <w:rPr>
          <w:rFonts w:ascii="Georgia" w:eastAsia="Times New Roman" w:hAnsi="Georgia" w:cs="Arial"/>
          <w:color w:val="222222"/>
          <w:sz w:val="24"/>
          <w:szCs w:val="24"/>
          <w:lang w:eastAsia="fr-FR"/>
        </w:rPr>
        <w:t> s’applique. Une tentative louable de transparence qui porte ses premiers fruits.</w:t>
      </w:r>
    </w:p>
    <w:p w14:paraId="7FF95B6C"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«C’est une bonne initiative, convient Éric Borremans, chez Pictet, car elle force la profession à davantage de rigueur.» Et «surtout à faire le ménage», grince un autre gérant qui pointe, dans le même temps, l’échec des labels, jugés à la fois trop laxistes et inefficaces. Ils devaient apporter la clarté, mais c’est l’inverse qui s’est produit, notamment en France, où ils se sont multipliés</w:t>
      </w:r>
      <w:r w:rsidRPr="000843F5">
        <w:rPr>
          <w:rFonts w:ascii="Times New Roman" w:eastAsia="Times New Roman" w:hAnsi="Times New Roman" w:cs="Times New Roman"/>
          <w:color w:val="222222"/>
          <w:sz w:val="24"/>
          <w:szCs w:val="24"/>
          <w:lang w:eastAsia="fr-FR"/>
        </w:rPr>
        <w:t> </w:t>
      </w:r>
      <w:r w:rsidRPr="000843F5">
        <w:rPr>
          <w:rFonts w:ascii="Georgia" w:eastAsia="Times New Roman" w:hAnsi="Georgia" w:cs="Arial"/>
          <w:color w:val="222222"/>
          <w:sz w:val="24"/>
          <w:szCs w:val="24"/>
          <w:lang w:eastAsia="fr-FR"/>
        </w:rPr>
        <w:t xml:space="preserve">: label public ISR, label Greenfin pour la transition </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nerg</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tique, label CIES pour l</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 xml:space="preserve">pargne salariale. </w:t>
      </w:r>
      <w:r w:rsidRPr="000843F5">
        <w:rPr>
          <w:rFonts w:ascii="Georgia" w:eastAsia="Times New Roman" w:hAnsi="Georgia" w:cs="Georgia"/>
          <w:color w:val="222222"/>
          <w:sz w:val="24"/>
          <w:szCs w:val="24"/>
          <w:lang w:eastAsia="fr-FR"/>
        </w:rPr>
        <w:t>«</w:t>
      </w:r>
      <w:r w:rsidRPr="000843F5">
        <w:rPr>
          <w:rFonts w:ascii="Georgia" w:eastAsia="Times New Roman" w:hAnsi="Georgia" w:cs="Arial"/>
          <w:color w:val="222222"/>
          <w:sz w:val="24"/>
          <w:szCs w:val="24"/>
          <w:lang w:eastAsia="fr-FR"/>
        </w:rPr>
        <w:t>Plus personne n</w:t>
      </w:r>
      <w:r w:rsidRPr="000843F5">
        <w:rPr>
          <w:rFonts w:ascii="Georgia" w:eastAsia="Times New Roman" w:hAnsi="Georgia" w:cs="Georgia"/>
          <w:color w:val="222222"/>
          <w:sz w:val="24"/>
          <w:szCs w:val="24"/>
          <w:lang w:eastAsia="fr-FR"/>
        </w:rPr>
        <w:t>’</w:t>
      </w:r>
      <w:r w:rsidRPr="000843F5">
        <w:rPr>
          <w:rFonts w:ascii="Georgia" w:eastAsia="Times New Roman" w:hAnsi="Georgia" w:cs="Arial"/>
          <w:color w:val="222222"/>
          <w:sz w:val="24"/>
          <w:szCs w:val="24"/>
          <w:lang w:eastAsia="fr-FR"/>
        </w:rPr>
        <w:t>y comprend rien</w:t>
      </w:r>
      <w:r w:rsidRPr="000843F5">
        <w:rPr>
          <w:rFonts w:ascii="Georgia" w:eastAsia="Times New Roman" w:hAnsi="Georgia" w:cs="Georgia"/>
          <w:color w:val="222222"/>
          <w:sz w:val="24"/>
          <w:szCs w:val="24"/>
          <w:lang w:eastAsia="fr-FR"/>
        </w:rPr>
        <w:t>»</w:t>
      </w:r>
      <w:r w:rsidRPr="000843F5">
        <w:rPr>
          <w:rFonts w:ascii="Georgia" w:eastAsia="Times New Roman" w:hAnsi="Georgia" w:cs="Arial"/>
          <w:color w:val="222222"/>
          <w:sz w:val="24"/>
          <w:szCs w:val="24"/>
          <w:lang w:eastAsia="fr-FR"/>
        </w:rPr>
        <w:t>, d</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plore un sp</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cialiste. Si m</w:t>
      </w:r>
      <w:r w:rsidRPr="000843F5">
        <w:rPr>
          <w:rFonts w:ascii="Georgia" w:eastAsia="Times New Roman" w:hAnsi="Georgia" w:cs="Georgia"/>
          <w:color w:val="222222"/>
          <w:sz w:val="24"/>
          <w:szCs w:val="24"/>
          <w:lang w:eastAsia="fr-FR"/>
        </w:rPr>
        <w:t>ê</w:t>
      </w:r>
      <w:r w:rsidRPr="000843F5">
        <w:rPr>
          <w:rFonts w:ascii="Georgia" w:eastAsia="Times New Roman" w:hAnsi="Georgia" w:cs="Arial"/>
          <w:color w:val="222222"/>
          <w:sz w:val="24"/>
          <w:szCs w:val="24"/>
          <w:lang w:eastAsia="fr-FR"/>
        </w:rPr>
        <w:t>me les professionnels s’y perdent...</w:t>
      </w:r>
    </w:p>
    <w:p w14:paraId="1C354854"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outlineLvl w:val="1"/>
        <w:rPr>
          <w:rFonts w:ascii="Arial" w:eastAsia="Times New Roman" w:hAnsi="Arial" w:cs="Arial"/>
          <w:color w:val="222222"/>
          <w:sz w:val="36"/>
          <w:szCs w:val="36"/>
          <w:lang w:eastAsia="fr-FR"/>
        </w:rPr>
      </w:pPr>
      <w:r w:rsidRPr="000843F5">
        <w:rPr>
          <w:rFonts w:ascii="Arial" w:eastAsia="Times New Roman" w:hAnsi="Arial" w:cs="Arial"/>
          <w:color w:val="222222"/>
          <w:sz w:val="36"/>
          <w:szCs w:val="36"/>
          <w:lang w:eastAsia="fr-FR"/>
        </w:rPr>
        <w:t>Transparence</w:t>
      </w:r>
    </w:p>
    <w:p w14:paraId="43248F5D"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Pour dissiper les soupçons de mystification, les gérants ISR vont désormais devoir, dans le cadre européen, faire preuve de transparence sur leur méthode et leurs ambitions, le tout décrit dans le prospectus de chaque fond.</w:t>
      </w:r>
    </w:p>
    <w:p w14:paraId="6C9CBC3F" w14:textId="77777777" w:rsidR="000843F5" w:rsidRPr="000843F5" w:rsidRDefault="000843F5" w:rsidP="006D704D">
      <w:pPr>
        <w:shd w:val="clear" w:color="auto" w:fill="FFFFFF" w:themeFill="background1"/>
        <w:spacing w:beforeAutospacing="1" w:after="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«Cette obligation a valeur de loi pour une société de gestion, car cela l’expose aux sanctions du régulateur, voire à des poursuites d’investisseurs, en cas de manquement», se félicite un historique de l’ISR en France. L’</w:t>
      </w:r>
      <w:hyperlink r:id="rId13" w:tgtFrame="_blank" w:history="1">
        <w:r w:rsidRPr="000843F5">
          <w:rPr>
            <w:rFonts w:ascii="Georgia" w:eastAsia="Times New Roman" w:hAnsi="Georgia" w:cs="Arial"/>
            <w:color w:val="222222"/>
            <w:sz w:val="24"/>
            <w:szCs w:val="24"/>
            <w:u w:val="single"/>
            <w:bdr w:val="none" w:sz="0" w:space="0" w:color="auto" w:frame="1"/>
            <w:lang w:eastAsia="fr-FR"/>
          </w:rPr>
          <w:t>Union européenne</w:t>
        </w:r>
      </w:hyperlink>
      <w:r w:rsidRPr="000843F5">
        <w:rPr>
          <w:rFonts w:ascii="Georgia" w:eastAsia="Times New Roman" w:hAnsi="Georgia" w:cs="Arial"/>
          <w:color w:val="222222"/>
          <w:sz w:val="24"/>
          <w:szCs w:val="24"/>
          <w:lang w:eastAsia="fr-FR"/>
        </w:rPr>
        <w:t> y voit à la fois un levier puissant en faveur de la transition climatique vers la neutralité carbone, mais aussi un enjeu de souveraineté.</w:t>
      </w:r>
    </w:p>
    <w:p w14:paraId="53EEB871" w14:textId="77777777" w:rsidR="000843F5" w:rsidRPr="000843F5" w:rsidRDefault="000843F5" w:rsidP="006D704D">
      <w:pPr>
        <w:shd w:val="clear" w:color="auto" w:fill="FFFFFF" w:themeFill="background1"/>
        <w:spacing w:beforeAutospacing="1" w:after="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b/>
          <w:bCs/>
          <w:color w:val="222222"/>
          <w:sz w:val="24"/>
          <w:szCs w:val="24"/>
          <w:bdr w:val="none" w:sz="0" w:space="0" w:color="auto" w:frame="1"/>
          <w:lang w:eastAsia="fr-FR"/>
        </w:rPr>
        <w:t>Trois niveaux d’engagements sont ainsi établis</w:t>
      </w:r>
      <w:r w:rsidRPr="000843F5">
        <w:rPr>
          <w:rFonts w:ascii="Times New Roman" w:eastAsia="Times New Roman" w:hAnsi="Times New Roman" w:cs="Times New Roman"/>
          <w:b/>
          <w:bCs/>
          <w:color w:val="222222"/>
          <w:sz w:val="24"/>
          <w:szCs w:val="24"/>
          <w:bdr w:val="none" w:sz="0" w:space="0" w:color="auto" w:frame="1"/>
          <w:lang w:eastAsia="fr-FR"/>
        </w:rPr>
        <w:t> </w:t>
      </w:r>
      <w:r w:rsidRPr="000843F5">
        <w:rPr>
          <w:rFonts w:ascii="Georgia" w:eastAsia="Times New Roman" w:hAnsi="Georgia" w:cs="Arial"/>
          <w:b/>
          <w:bCs/>
          <w:color w:val="222222"/>
          <w:sz w:val="24"/>
          <w:szCs w:val="24"/>
          <w:bdr w:val="none" w:sz="0" w:space="0" w:color="auto" w:frame="1"/>
          <w:lang w:eastAsia="fr-FR"/>
        </w:rPr>
        <w:t>:</w:t>
      </w:r>
      <w:r w:rsidRPr="000843F5">
        <w:rPr>
          <w:rFonts w:ascii="Georgia" w:eastAsia="Times New Roman" w:hAnsi="Georgia" w:cs="Georgia"/>
          <w:b/>
          <w:bCs/>
          <w:color w:val="222222"/>
          <w:sz w:val="24"/>
          <w:szCs w:val="24"/>
          <w:bdr w:val="none" w:sz="0" w:space="0" w:color="auto" w:frame="1"/>
          <w:lang w:eastAsia="fr-FR"/>
        </w:rPr>
        <w:t> </w:t>
      </w:r>
      <w:r w:rsidRPr="000843F5">
        <w:rPr>
          <w:rFonts w:ascii="Georgia" w:eastAsia="Times New Roman" w:hAnsi="Georgia" w:cs="Arial"/>
          <w:color w:val="222222"/>
          <w:sz w:val="24"/>
          <w:szCs w:val="24"/>
          <w:lang w:eastAsia="fr-FR"/>
        </w:rPr>
        <w:t>le niveau minimal (article 6), l’intégration de la durabilité, avec une analyse extrafinancière, mais sans contrainte (article 8), et, enfin, l’ISR de durabilité et d’impact (article 9). Ce niveau le plus ambitieux marque un retour aux sources de la démarche ISR.</w:t>
      </w:r>
    </w:p>
    <w:p w14:paraId="0826B520"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lastRenderedPageBreak/>
        <w:t>L’exigence sera maximale avec la recherche combinée d’une meilleure performance financière que l’indice boursier de référence, l’intégration de l’ESG, et surtout la recherche d’impact extrafinancier sur des objectifs précis (réduire l’intensité carbone, consommer moins d’eau, etc.).</w:t>
      </w:r>
    </w:p>
    <w:p w14:paraId="4FFF3995"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Compliqué</w:t>
      </w:r>
      <w:r w:rsidRPr="000843F5">
        <w:rPr>
          <w:rFonts w:ascii="Times New Roman" w:eastAsia="Times New Roman" w:hAnsi="Times New Roman" w:cs="Times New Roman"/>
          <w:color w:val="222222"/>
          <w:sz w:val="24"/>
          <w:szCs w:val="24"/>
          <w:lang w:eastAsia="fr-FR"/>
        </w:rPr>
        <w:t> </w:t>
      </w:r>
      <w:r w:rsidRPr="000843F5">
        <w:rPr>
          <w:rFonts w:ascii="Georgia" w:eastAsia="Times New Roman" w:hAnsi="Georgia" w:cs="Arial"/>
          <w:color w:val="222222"/>
          <w:sz w:val="24"/>
          <w:szCs w:val="24"/>
          <w:lang w:eastAsia="fr-FR"/>
        </w:rPr>
        <w:t>? Vous n</w:t>
      </w:r>
      <w:r w:rsidRPr="000843F5">
        <w:rPr>
          <w:rFonts w:ascii="Georgia" w:eastAsia="Times New Roman" w:hAnsi="Georgia" w:cs="Georgia"/>
          <w:color w:val="222222"/>
          <w:sz w:val="24"/>
          <w:szCs w:val="24"/>
          <w:lang w:eastAsia="fr-FR"/>
        </w:rPr>
        <w:t>’</w:t>
      </w:r>
      <w:r w:rsidRPr="000843F5">
        <w:rPr>
          <w:rFonts w:ascii="Georgia" w:eastAsia="Times New Roman" w:hAnsi="Georgia" w:cs="Arial"/>
          <w:color w:val="222222"/>
          <w:sz w:val="24"/>
          <w:szCs w:val="24"/>
          <w:lang w:eastAsia="fr-FR"/>
        </w:rPr>
        <w:t xml:space="preserve">avez encore rien vu ! Car </w:t>
      </w:r>
      <w:r w:rsidRPr="000843F5">
        <w:rPr>
          <w:rFonts w:ascii="Georgia" w:eastAsia="Times New Roman" w:hAnsi="Georgia" w:cs="Georgia"/>
          <w:color w:val="222222"/>
          <w:sz w:val="24"/>
          <w:szCs w:val="24"/>
          <w:lang w:eastAsia="fr-FR"/>
        </w:rPr>
        <w:t>à</w:t>
      </w:r>
      <w:r w:rsidRPr="000843F5">
        <w:rPr>
          <w:rFonts w:ascii="Georgia" w:eastAsia="Times New Roman" w:hAnsi="Georgia" w:cs="Arial"/>
          <w:color w:val="222222"/>
          <w:sz w:val="24"/>
          <w:szCs w:val="24"/>
          <w:lang w:eastAsia="fr-FR"/>
        </w:rPr>
        <w:t xml:space="preserve"> partir de juin prochain, les g</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rants auront des obligations tr</w:t>
      </w:r>
      <w:r w:rsidRPr="000843F5">
        <w:rPr>
          <w:rFonts w:ascii="Georgia" w:eastAsia="Times New Roman" w:hAnsi="Georgia" w:cs="Georgia"/>
          <w:color w:val="222222"/>
          <w:sz w:val="24"/>
          <w:szCs w:val="24"/>
          <w:lang w:eastAsia="fr-FR"/>
        </w:rPr>
        <w:t>è</w:t>
      </w:r>
      <w:r w:rsidRPr="000843F5">
        <w:rPr>
          <w:rFonts w:ascii="Georgia" w:eastAsia="Times New Roman" w:hAnsi="Georgia" w:cs="Arial"/>
          <w:color w:val="222222"/>
          <w:sz w:val="24"/>
          <w:szCs w:val="24"/>
          <w:lang w:eastAsia="fr-FR"/>
        </w:rPr>
        <w:t>s strictes de reporting par rapport aux exigences europ</w:t>
      </w:r>
      <w:r w:rsidRPr="000843F5">
        <w:rPr>
          <w:rFonts w:ascii="Georgia" w:eastAsia="Times New Roman" w:hAnsi="Georgia" w:cs="Georgia"/>
          <w:color w:val="222222"/>
          <w:sz w:val="24"/>
          <w:szCs w:val="24"/>
          <w:lang w:eastAsia="fr-FR"/>
        </w:rPr>
        <w:t>é</w:t>
      </w:r>
      <w:r w:rsidRPr="000843F5">
        <w:rPr>
          <w:rFonts w:ascii="Georgia" w:eastAsia="Times New Roman" w:hAnsi="Georgia" w:cs="Arial"/>
          <w:color w:val="222222"/>
          <w:sz w:val="24"/>
          <w:szCs w:val="24"/>
          <w:lang w:eastAsia="fr-FR"/>
        </w:rPr>
        <w:t xml:space="preserve">ennes. Si, sur deux des six objectifs </w:t>
      </w:r>
      <w:r w:rsidRPr="000843F5">
        <w:rPr>
          <w:rFonts w:ascii="Georgia" w:eastAsia="Times New Roman" w:hAnsi="Georgia" w:cs="Georgia"/>
          <w:color w:val="222222"/>
          <w:sz w:val="24"/>
          <w:szCs w:val="24"/>
          <w:lang w:eastAsia="fr-FR"/>
        </w:rPr>
        <w:t>–</w:t>
      </w:r>
      <w:r w:rsidRPr="000843F5">
        <w:rPr>
          <w:rFonts w:ascii="Georgia" w:eastAsia="Times New Roman" w:hAnsi="Georgia" w:cs="Arial"/>
          <w:color w:val="222222"/>
          <w:sz w:val="24"/>
          <w:szCs w:val="24"/>
          <w:lang w:eastAsia="fr-FR"/>
        </w:rPr>
        <w:t xml:space="preserve"> transition climatique et adaptation -, les critères sont balisés, en revanche sur les thèmes de l’eau, de la dépollution, de l’économie circulaire et de la biodiversité, le flou persiste.</w:t>
      </w:r>
    </w:p>
    <w:p w14:paraId="0D50E25F"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Quant à la future taxonomie sociale, l’autre grand chantier, elle n’est est encore qu’à l’état d’ébauche. Mais elle promet également une belle foire d’empoigne, tant ce domaine s’annonce sensible.</w:t>
      </w:r>
    </w:p>
    <w:p w14:paraId="730916CC"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Qui, demain, définira ce qu’est une entreprise responsable sur des critères sociaux tels que la parité, la dispersion des rémunérations, le temps de travail ou sa pénibilité, la place réservée aux minorités ou aux genres</w:t>
      </w:r>
      <w:r w:rsidRPr="000843F5">
        <w:rPr>
          <w:rFonts w:ascii="Times New Roman" w:eastAsia="Times New Roman" w:hAnsi="Times New Roman" w:cs="Times New Roman"/>
          <w:color w:val="222222"/>
          <w:sz w:val="24"/>
          <w:szCs w:val="24"/>
          <w:lang w:eastAsia="fr-FR"/>
        </w:rPr>
        <w:t> </w:t>
      </w:r>
      <w:r w:rsidRPr="000843F5">
        <w:rPr>
          <w:rFonts w:ascii="Georgia" w:eastAsia="Times New Roman" w:hAnsi="Georgia" w:cs="Arial"/>
          <w:color w:val="222222"/>
          <w:sz w:val="24"/>
          <w:szCs w:val="24"/>
          <w:lang w:eastAsia="fr-FR"/>
        </w:rPr>
        <w:t>?</w:t>
      </w:r>
    </w:p>
    <w:p w14:paraId="3EBC8A78" w14:textId="77777777" w:rsidR="000843F5" w:rsidRPr="000843F5" w:rsidRDefault="000843F5" w:rsidP="006D704D">
      <w:pPr>
        <w:shd w:val="clear" w:color="auto" w:fill="FFFFFF" w:themeFill="background1"/>
        <w:spacing w:before="100" w:beforeAutospacing="1" w:after="100" w:afterAutospacing="1" w:line="240" w:lineRule="auto"/>
        <w:jc w:val="both"/>
        <w:textAlignment w:val="baseline"/>
        <w:rPr>
          <w:rFonts w:ascii="Georgia" w:eastAsia="Times New Roman" w:hAnsi="Georgia" w:cs="Arial"/>
          <w:color w:val="222222"/>
          <w:sz w:val="24"/>
          <w:szCs w:val="24"/>
          <w:lang w:eastAsia="fr-FR"/>
        </w:rPr>
      </w:pPr>
      <w:r w:rsidRPr="000843F5">
        <w:rPr>
          <w:rFonts w:ascii="Georgia" w:eastAsia="Times New Roman" w:hAnsi="Georgia" w:cs="Arial"/>
          <w:color w:val="222222"/>
          <w:sz w:val="24"/>
          <w:szCs w:val="24"/>
          <w:lang w:eastAsia="fr-FR"/>
        </w:rPr>
        <w:t>Si l’avenir est à l’impact, mais le présent à la recherche de pureté, le débat ne peut devenir qu’incandescent.</w:t>
      </w:r>
    </w:p>
    <w:p w14:paraId="6218E8E5" w14:textId="77777777" w:rsidR="000843F5" w:rsidRPr="000843F5" w:rsidRDefault="0047080C" w:rsidP="006D704D">
      <w:pPr>
        <w:shd w:val="clear" w:color="auto" w:fill="FFFFFF" w:themeFill="background1"/>
        <w:spacing w:after="0" w:line="240" w:lineRule="auto"/>
        <w:jc w:val="both"/>
        <w:rPr>
          <w:rFonts w:ascii="Arial" w:eastAsia="Times New Roman" w:hAnsi="Arial" w:cs="Arial"/>
          <w:color w:val="222222"/>
          <w:sz w:val="24"/>
          <w:szCs w:val="24"/>
          <w:lang w:eastAsia="fr-FR"/>
        </w:rPr>
      </w:pPr>
      <w:r>
        <w:rPr>
          <w:rFonts w:ascii="Arial" w:eastAsia="Times New Roman" w:hAnsi="Arial" w:cs="Arial"/>
          <w:color w:val="222222"/>
          <w:sz w:val="24"/>
          <w:szCs w:val="24"/>
          <w:lang w:eastAsia="fr-FR"/>
        </w:rPr>
        <w:pict w14:anchorId="731AEA39">
          <v:rect id="_x0000_i1025" style="width:0;height:.75pt" o:hralign="center" o:hrstd="t" o:hrnoshade="t" o:hr="t" fillcolor="#ccc" stroked="f"/>
        </w:pict>
      </w:r>
    </w:p>
    <w:p w14:paraId="52AE21C7" w14:textId="77777777" w:rsidR="000843F5" w:rsidRDefault="000843F5"/>
    <w:sectPr w:rsidR="000843F5" w:rsidSect="006D704D">
      <w:headerReference w:type="default" r:id="rId14"/>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28F2" w14:textId="77777777" w:rsidR="0047080C" w:rsidRDefault="0047080C" w:rsidP="006D704D">
      <w:pPr>
        <w:spacing w:after="0" w:line="240" w:lineRule="auto"/>
      </w:pPr>
      <w:r>
        <w:separator/>
      </w:r>
    </w:p>
  </w:endnote>
  <w:endnote w:type="continuationSeparator" w:id="0">
    <w:p w14:paraId="6563D00F" w14:textId="77777777" w:rsidR="0047080C" w:rsidRDefault="0047080C" w:rsidP="006D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8F1F" w14:textId="77777777" w:rsidR="0047080C" w:rsidRDefault="0047080C" w:rsidP="006D704D">
      <w:pPr>
        <w:spacing w:after="0" w:line="240" w:lineRule="auto"/>
      </w:pPr>
      <w:r>
        <w:separator/>
      </w:r>
    </w:p>
  </w:footnote>
  <w:footnote w:type="continuationSeparator" w:id="0">
    <w:p w14:paraId="01DB5F50" w14:textId="77777777" w:rsidR="0047080C" w:rsidRDefault="0047080C" w:rsidP="006D7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18669"/>
      <w:docPartObj>
        <w:docPartGallery w:val="Page Numbers (Top of Page)"/>
        <w:docPartUnique/>
      </w:docPartObj>
    </w:sdtPr>
    <w:sdtEndPr/>
    <w:sdtContent>
      <w:p w14:paraId="383C0BA2" w14:textId="2A8ADC44" w:rsidR="006D704D" w:rsidRDefault="006D704D">
        <w:pPr>
          <w:pStyle w:val="Intestazione"/>
          <w:jc w:val="right"/>
        </w:pPr>
        <w:r>
          <w:fldChar w:fldCharType="begin"/>
        </w:r>
        <w:r>
          <w:instrText>PAGE   \* MERGEFORMAT</w:instrText>
        </w:r>
        <w:r>
          <w:fldChar w:fldCharType="separate"/>
        </w:r>
        <w:r>
          <w:rPr>
            <w:lang w:val="it-IT"/>
          </w:rPr>
          <w:t>2</w:t>
        </w:r>
        <w:r>
          <w:fldChar w:fldCharType="end"/>
        </w:r>
      </w:p>
    </w:sdtContent>
  </w:sdt>
  <w:p w14:paraId="72DD9A89" w14:textId="77777777" w:rsidR="006D704D" w:rsidRDefault="006D704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F5"/>
    <w:rsid w:val="000843F5"/>
    <w:rsid w:val="001E598E"/>
    <w:rsid w:val="0047080C"/>
    <w:rsid w:val="006D704D"/>
    <w:rsid w:val="007F0FE9"/>
    <w:rsid w:val="008F61DA"/>
    <w:rsid w:val="009B7293"/>
    <w:rsid w:val="00B829ED"/>
    <w:rsid w:val="00BA4C0B"/>
    <w:rsid w:val="00D346EA"/>
    <w:rsid w:val="00DF5A7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BACF"/>
  <w15:chartTrackingRefBased/>
  <w15:docId w15:val="{582643DC-1828-4107-97D5-934000A5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70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704D"/>
  </w:style>
  <w:style w:type="paragraph" w:styleId="Pidipagina">
    <w:name w:val="footer"/>
    <w:basedOn w:val="Normale"/>
    <w:link w:val="PidipaginaCarattere"/>
    <w:uiPriority w:val="99"/>
    <w:unhideWhenUsed/>
    <w:rsid w:val="006D70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758">
      <w:bodyDiv w:val="1"/>
      <w:marLeft w:val="0"/>
      <w:marRight w:val="0"/>
      <w:marTop w:val="0"/>
      <w:marBottom w:val="0"/>
      <w:divBdr>
        <w:top w:val="none" w:sz="0" w:space="0" w:color="auto"/>
        <w:left w:val="none" w:sz="0" w:space="0" w:color="auto"/>
        <w:bottom w:val="none" w:sz="0" w:space="0" w:color="auto"/>
        <w:right w:val="none" w:sz="0" w:space="0" w:color="auto"/>
      </w:divBdr>
      <w:divsChild>
        <w:div w:id="1404521869">
          <w:marLeft w:val="0"/>
          <w:marRight w:val="0"/>
          <w:marTop w:val="300"/>
          <w:marBottom w:val="450"/>
          <w:divBdr>
            <w:top w:val="none" w:sz="0" w:space="0" w:color="auto"/>
            <w:left w:val="none" w:sz="0" w:space="0" w:color="auto"/>
            <w:bottom w:val="none" w:sz="0" w:space="0" w:color="auto"/>
            <w:right w:val="none" w:sz="0" w:space="0" w:color="auto"/>
          </w:divBdr>
          <w:divsChild>
            <w:div w:id="2032023922">
              <w:marLeft w:val="0"/>
              <w:marRight w:val="0"/>
              <w:marTop w:val="0"/>
              <w:marBottom w:val="0"/>
              <w:divBdr>
                <w:top w:val="none" w:sz="0" w:space="0" w:color="auto"/>
                <w:left w:val="none" w:sz="0" w:space="0" w:color="auto"/>
                <w:bottom w:val="none" w:sz="0" w:space="0" w:color="auto"/>
                <w:right w:val="none" w:sz="0" w:space="0" w:color="auto"/>
              </w:divBdr>
            </w:div>
          </w:divsChild>
        </w:div>
        <w:div w:id="1107189937">
          <w:marLeft w:val="0"/>
          <w:marRight w:val="0"/>
          <w:marTop w:val="0"/>
          <w:marBottom w:val="0"/>
          <w:divBdr>
            <w:top w:val="none" w:sz="0" w:space="0" w:color="auto"/>
            <w:left w:val="none" w:sz="0" w:space="0" w:color="auto"/>
            <w:bottom w:val="none" w:sz="0" w:space="0" w:color="auto"/>
            <w:right w:val="none" w:sz="0" w:space="0" w:color="auto"/>
          </w:divBdr>
          <w:divsChild>
            <w:div w:id="1646424733">
              <w:marLeft w:val="0"/>
              <w:marRight w:val="0"/>
              <w:marTop w:val="0"/>
              <w:marBottom w:val="300"/>
              <w:divBdr>
                <w:top w:val="none" w:sz="0" w:space="0" w:color="auto"/>
                <w:left w:val="none" w:sz="0" w:space="0" w:color="auto"/>
                <w:bottom w:val="none" w:sz="0" w:space="0" w:color="auto"/>
                <w:right w:val="none" w:sz="0" w:space="0" w:color="auto"/>
              </w:divBdr>
              <w:divsChild>
                <w:div w:id="983851496">
                  <w:marLeft w:val="0"/>
                  <w:marRight w:val="0"/>
                  <w:marTop w:val="0"/>
                  <w:marBottom w:val="0"/>
                  <w:divBdr>
                    <w:top w:val="none" w:sz="0" w:space="0" w:color="auto"/>
                    <w:left w:val="none" w:sz="0" w:space="0" w:color="auto"/>
                    <w:bottom w:val="none" w:sz="0" w:space="0" w:color="auto"/>
                    <w:right w:val="none" w:sz="0" w:space="0" w:color="auto"/>
                  </w:divBdr>
                </w:div>
                <w:div w:id="699355624">
                  <w:marLeft w:val="0"/>
                  <w:marRight w:val="0"/>
                  <w:marTop w:val="0"/>
                  <w:marBottom w:val="0"/>
                  <w:divBdr>
                    <w:top w:val="none" w:sz="0" w:space="0" w:color="auto"/>
                    <w:left w:val="none" w:sz="0" w:space="0" w:color="auto"/>
                    <w:bottom w:val="none" w:sz="0" w:space="0" w:color="auto"/>
                    <w:right w:val="none" w:sz="0" w:space="0" w:color="auto"/>
                  </w:divBdr>
                </w:div>
              </w:divsChild>
            </w:div>
            <w:div w:id="752169829">
              <w:marLeft w:val="0"/>
              <w:marRight w:val="0"/>
              <w:marTop w:val="0"/>
              <w:marBottom w:val="0"/>
              <w:divBdr>
                <w:top w:val="none" w:sz="0" w:space="0" w:color="auto"/>
                <w:left w:val="none" w:sz="0" w:space="0" w:color="auto"/>
                <w:bottom w:val="none" w:sz="0" w:space="0" w:color="auto"/>
                <w:right w:val="none" w:sz="0" w:space="0" w:color="auto"/>
              </w:divBdr>
              <w:divsChild>
                <w:div w:id="1504858160">
                  <w:marLeft w:val="0"/>
                  <w:marRight w:val="450"/>
                  <w:marTop w:val="0"/>
                  <w:marBottom w:val="0"/>
                  <w:divBdr>
                    <w:top w:val="none" w:sz="0" w:space="0" w:color="auto"/>
                    <w:left w:val="none" w:sz="0" w:space="0" w:color="auto"/>
                    <w:bottom w:val="none" w:sz="0" w:space="0" w:color="auto"/>
                    <w:right w:val="none" w:sz="0" w:space="0" w:color="auto"/>
                  </w:divBdr>
                  <w:divsChild>
                    <w:div w:id="4658579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revenu.com/bourse/isr-crise-de-croissance-pour-linvestissement-responsable" TargetMode="External"/><Relationship Id="rId13" Type="http://schemas.openxmlformats.org/officeDocument/2006/relationships/hyperlink" Target="https://www.lerevenu.com/zone-eu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revenu.com/investissement-solidai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erevenu.com/investissement-solidai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87867-93A8-49EC-8CDA-7E7818D9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1342</Words>
  <Characters>7383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laura.kreyder@unimib.it</dc:creator>
  <cp:keywords/>
  <dc:description/>
  <cp:lastModifiedBy>laura.kreyder@unimib.it</cp:lastModifiedBy>
  <cp:revision>4</cp:revision>
  <dcterms:created xsi:type="dcterms:W3CDTF">2021-12-16T18:14:00Z</dcterms:created>
  <dcterms:modified xsi:type="dcterms:W3CDTF">2022-01-09T16:55:00Z</dcterms:modified>
</cp:coreProperties>
</file>