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06A0" w14:textId="3D2C6F0A" w:rsidR="00770864" w:rsidRDefault="00770864" w:rsidP="00770864">
      <w:pPr>
        <w:jc w:val="center"/>
        <w:rPr>
          <w:b/>
          <w:bCs/>
        </w:rPr>
      </w:pPr>
      <w:r>
        <w:rPr>
          <w:b/>
          <w:bCs/>
        </w:rPr>
        <w:t>Analisi delle politiche pubbliche</w:t>
      </w:r>
    </w:p>
    <w:p w14:paraId="7EC292CB" w14:textId="25A75937" w:rsidR="00770864" w:rsidRDefault="002331D7" w:rsidP="00770864">
      <w:pPr>
        <w:jc w:val="center"/>
        <w:rPr>
          <w:b/>
          <w:bCs/>
        </w:rPr>
      </w:pPr>
      <w:r>
        <w:rPr>
          <w:b/>
          <w:bCs/>
        </w:rPr>
        <w:t xml:space="preserve">Responsabile: </w:t>
      </w:r>
      <w:r w:rsidR="00770864">
        <w:rPr>
          <w:b/>
          <w:bCs/>
        </w:rPr>
        <w:t>Prof.ssa Laura Resmini</w:t>
      </w:r>
    </w:p>
    <w:p w14:paraId="4978DFBF" w14:textId="0A0AF8BA" w:rsidR="00770864" w:rsidRDefault="00770864" w:rsidP="00770864">
      <w:pPr>
        <w:jc w:val="center"/>
        <w:rPr>
          <w:b/>
          <w:bCs/>
        </w:rPr>
      </w:pPr>
    </w:p>
    <w:p w14:paraId="406A090B" w14:textId="0779B0C9" w:rsidR="00770864" w:rsidRDefault="00770864" w:rsidP="00770864">
      <w:pPr>
        <w:rPr>
          <w:b/>
          <w:bCs/>
        </w:rPr>
      </w:pPr>
      <w:r>
        <w:rPr>
          <w:b/>
          <w:bCs/>
        </w:rPr>
        <w:t>Descrizione del corso</w:t>
      </w:r>
    </w:p>
    <w:p w14:paraId="6AEC9140" w14:textId="21D15A03" w:rsidR="002331D7" w:rsidRDefault="002331D7" w:rsidP="002331D7">
      <w:pPr>
        <w:jc w:val="both"/>
        <w:rPr>
          <w:rFonts w:ascii="Corbel" w:eastAsia="Corbel" w:hAnsi="Corbel" w:cs="Corbel"/>
        </w:rPr>
      </w:pPr>
      <w:r w:rsidRPr="002331D7">
        <w:rPr>
          <w:rFonts w:ascii="Corbel" w:eastAsia="Corbel" w:hAnsi="Corbel" w:cs="Corbel"/>
        </w:rPr>
        <w:t>A partire dalla definizione di politica pubblica verranno introdotti i concetti fondamentali per l’analisi delle politiche pubbliche e le logiche per la loro valutazione. Ci si concentrerà poi sull’analisi e valutazione delle politiche pubbliche a scopo di apprendimento e miglioramento dell’azione pubblica.</w:t>
      </w:r>
      <w:r w:rsidR="00913587">
        <w:rPr>
          <w:rFonts w:ascii="Corbel" w:eastAsia="Corbel" w:hAnsi="Corbel" w:cs="Corbel"/>
        </w:rPr>
        <w:t xml:space="preserve"> </w:t>
      </w:r>
      <w:r w:rsidRPr="002331D7">
        <w:rPr>
          <w:rFonts w:ascii="Corbel" w:eastAsia="Corbel" w:hAnsi="Corbel" w:cs="Corbel"/>
        </w:rPr>
        <w:t>Il modulo presenta poi la cornice istituzionale della valutazione delle politiche pubbliche in Italia e in Lombardia, con riferimento alle principali norme che la regolano e al ruolo dei principali attori istituzionali.</w:t>
      </w:r>
      <w:r w:rsidR="00913587">
        <w:rPr>
          <w:rFonts w:ascii="Corbel" w:eastAsia="Corbel" w:hAnsi="Corbel" w:cs="Corbel"/>
        </w:rPr>
        <w:t xml:space="preserve"> </w:t>
      </w:r>
      <w:r w:rsidRPr="002331D7">
        <w:rPr>
          <w:rFonts w:ascii="Corbel" w:eastAsia="Corbel" w:hAnsi="Corbel" w:cs="Corbel"/>
        </w:rPr>
        <w:t xml:space="preserve">Il corso si concentra poi sui metodi e sugli strumenti per rendicontare l’attuazione di interventi pubblici e per valutarne l’implementazione. In particolare, vengono trattati gli approcci analitici basati sul modello logico e sulla teoria del cambiamento. Ampio spazio viene dedicato anche ad approfondire la progettazione delle attività di valutazione, la raccolta dei dati e delle informazioni. L'insegnamento </w:t>
      </w:r>
      <w:r w:rsidR="00444A65">
        <w:rPr>
          <w:rFonts w:ascii="Corbel" w:eastAsia="Corbel" w:hAnsi="Corbel" w:cs="Corbel"/>
        </w:rPr>
        <w:t>include anche</w:t>
      </w:r>
      <w:r w:rsidRPr="002331D7">
        <w:rPr>
          <w:rFonts w:ascii="Corbel" w:eastAsia="Corbel" w:hAnsi="Corbel" w:cs="Corbel"/>
        </w:rPr>
        <w:t xml:space="preserve"> un approfondimento delle tematiche legate alla comunicazione della valutazione.</w:t>
      </w:r>
      <w:r w:rsidR="00913587">
        <w:rPr>
          <w:rFonts w:ascii="Corbel" w:eastAsia="Corbel" w:hAnsi="Corbel" w:cs="Corbel"/>
        </w:rPr>
        <w:t xml:space="preserve"> </w:t>
      </w:r>
      <w:r w:rsidRPr="002331D7">
        <w:rPr>
          <w:rFonts w:ascii="Corbel" w:eastAsia="Corbel" w:hAnsi="Corbel" w:cs="Corbel"/>
        </w:rPr>
        <w:t>Il modulo si completa con la presentazione e la prima analisi di politiche regolate e finanziate da Regione Lombardia nei principali settori di intervento (welfare, trasporti, agricoltura, ambiente, istruzione e formazione)</w:t>
      </w:r>
      <w:r w:rsidR="00444A65">
        <w:rPr>
          <w:rFonts w:ascii="Corbel" w:eastAsia="Corbel" w:hAnsi="Corbel" w:cs="Corbel"/>
        </w:rPr>
        <w:t>.</w:t>
      </w:r>
      <w:r w:rsidRPr="002331D7">
        <w:rPr>
          <w:rFonts w:ascii="Corbel" w:eastAsia="Corbel" w:hAnsi="Corbel" w:cs="Corbel"/>
        </w:rPr>
        <w:t xml:space="preserve"> </w:t>
      </w:r>
    </w:p>
    <w:p w14:paraId="53935687" w14:textId="1CB32C55" w:rsidR="00152D8F" w:rsidRDefault="00152D8F" w:rsidP="002331D7">
      <w:pPr>
        <w:rPr>
          <w:rFonts w:ascii="Corbel" w:eastAsia="Corbel" w:hAnsi="Corbel" w:cs="Corbel"/>
          <w:b/>
          <w:bCs/>
        </w:rPr>
      </w:pPr>
      <w:r>
        <w:rPr>
          <w:rFonts w:ascii="Corbel" w:eastAsia="Corbel" w:hAnsi="Corbel" w:cs="Corbel"/>
          <w:b/>
          <w:bCs/>
        </w:rPr>
        <w:t>Metodologie didattiche</w:t>
      </w:r>
    </w:p>
    <w:p w14:paraId="70E11C8B" w14:textId="2D048DE9" w:rsidR="00152D8F" w:rsidRDefault="00152D8F" w:rsidP="003B0240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Il corso prevede l</w:t>
      </w:r>
      <w:r w:rsidRPr="00913587">
        <w:rPr>
          <w:rFonts w:ascii="Corbel" w:eastAsia="Corbel" w:hAnsi="Corbel" w:cs="Corbel"/>
        </w:rPr>
        <w:t>ezioni teoriche (poche) e pratiche (tante) per imparare ad analizzare le politiche pubbliche.</w:t>
      </w:r>
      <w:r>
        <w:rPr>
          <w:rFonts w:ascii="Corbel" w:eastAsia="Corbel" w:hAnsi="Corbel" w:cs="Corbel"/>
        </w:rPr>
        <w:t xml:space="preserve"> Saranno inoltre organizzati incontri con esperti di politiche regionali. Durante il corso saranno svolte attività interattive sia individuali che in gruppo. In particolare, la prof.ssa </w:t>
      </w:r>
      <w:proofErr w:type="spellStart"/>
      <w:r>
        <w:rPr>
          <w:rFonts w:ascii="Corbel" w:eastAsia="Corbel" w:hAnsi="Corbel" w:cs="Corbel"/>
        </w:rPr>
        <w:t>Regonini</w:t>
      </w:r>
      <w:proofErr w:type="spellEnd"/>
      <w:r>
        <w:rPr>
          <w:rFonts w:ascii="Corbel" w:eastAsia="Corbel" w:hAnsi="Corbel" w:cs="Corbel"/>
        </w:rPr>
        <w:t xml:space="preserve"> svolgerà una esercitazione individuale e </w:t>
      </w:r>
      <w:r w:rsidR="003B0240" w:rsidRPr="003B0240">
        <w:rPr>
          <w:rFonts w:ascii="Corbel" w:eastAsia="Corbel" w:hAnsi="Corbel" w:cs="Corbel"/>
        </w:rPr>
        <w:t xml:space="preserve">la prof. </w:t>
      </w:r>
      <w:proofErr w:type="spellStart"/>
      <w:r w:rsidR="003B0240" w:rsidRPr="003B0240">
        <w:rPr>
          <w:rFonts w:ascii="Corbel" w:eastAsia="Corbel" w:hAnsi="Corbel" w:cs="Corbel"/>
        </w:rPr>
        <w:t>ssa</w:t>
      </w:r>
      <w:proofErr w:type="spellEnd"/>
      <w:r w:rsidR="003B0240" w:rsidRPr="003B0240">
        <w:rPr>
          <w:rFonts w:ascii="Corbel" w:eastAsia="Corbel" w:hAnsi="Corbel" w:cs="Corbel"/>
        </w:rPr>
        <w:t xml:space="preserve"> Battiloro proporrà una attività in piccoli gruppi sull'analisi di implementazione (che sarà oggetto di valutazione) ed una sulla</w:t>
      </w:r>
      <w:r w:rsidR="003B0240">
        <w:rPr>
          <w:rFonts w:ascii="Corbel" w:eastAsia="Corbel" w:hAnsi="Corbel" w:cs="Corbel"/>
        </w:rPr>
        <w:t xml:space="preserve"> </w:t>
      </w:r>
      <w:r w:rsidR="003B0240" w:rsidRPr="003B0240">
        <w:rPr>
          <w:rFonts w:ascii="Corbel" w:eastAsia="Corbel" w:hAnsi="Corbel" w:cs="Corbel"/>
        </w:rPr>
        <w:t>comunicazione della valutazione delle politiche (non soggetta a valutazione)</w:t>
      </w:r>
      <w:r>
        <w:rPr>
          <w:rFonts w:ascii="Corbel" w:eastAsia="Corbel" w:hAnsi="Corbel" w:cs="Corbel"/>
        </w:rPr>
        <w:t>.  Entrambe le attività saranno oggetto di valutazione.</w:t>
      </w:r>
    </w:p>
    <w:p w14:paraId="5D3252D4" w14:textId="6BAF826E" w:rsidR="00770864" w:rsidRPr="00770864" w:rsidRDefault="00617D86" w:rsidP="002331D7">
      <w:pPr>
        <w:rPr>
          <w:rFonts w:ascii="Corbel" w:eastAsia="Corbel" w:hAnsi="Corbel" w:cs="Corbel"/>
          <w:b/>
          <w:bCs/>
        </w:rPr>
      </w:pPr>
      <w:r>
        <w:rPr>
          <w:rFonts w:ascii="Corbel" w:eastAsia="Corbel" w:hAnsi="Corbel" w:cs="Corbel"/>
          <w:b/>
          <w:bCs/>
        </w:rPr>
        <w:t>O</w:t>
      </w:r>
      <w:r w:rsidR="00770864" w:rsidRPr="00770864">
        <w:rPr>
          <w:rFonts w:ascii="Corbel" w:eastAsia="Corbel" w:hAnsi="Corbel" w:cs="Corbel"/>
          <w:b/>
          <w:bCs/>
        </w:rPr>
        <w:t>rario delle lezioni</w:t>
      </w:r>
    </w:p>
    <w:p w14:paraId="6ACF5277" w14:textId="3DC65198" w:rsidR="00770864" w:rsidRDefault="00770864" w:rsidP="00770864">
      <w:pPr>
        <w:spacing w:after="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Lunedì dalle 10:30 alle 13:30</w:t>
      </w:r>
    </w:p>
    <w:p w14:paraId="7C3511CE" w14:textId="1602A95A" w:rsidR="00770864" w:rsidRDefault="00770864" w:rsidP="00770864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M</w:t>
      </w:r>
      <w:r w:rsidR="00444A65">
        <w:rPr>
          <w:rFonts w:ascii="Corbel" w:eastAsia="Corbel" w:hAnsi="Corbel" w:cs="Corbel"/>
        </w:rPr>
        <w:t>artedì</w:t>
      </w:r>
      <w:r>
        <w:rPr>
          <w:rFonts w:ascii="Corbel" w:eastAsia="Corbel" w:hAnsi="Corbel" w:cs="Corbel"/>
        </w:rPr>
        <w:t xml:space="preserve"> dalle 1</w:t>
      </w:r>
      <w:r w:rsidR="00444A65">
        <w:rPr>
          <w:rFonts w:ascii="Corbel" w:eastAsia="Corbel" w:hAnsi="Corbel" w:cs="Corbel"/>
        </w:rPr>
        <w:t>0</w:t>
      </w:r>
      <w:r>
        <w:rPr>
          <w:rFonts w:ascii="Corbel" w:eastAsia="Corbel" w:hAnsi="Corbel" w:cs="Corbel"/>
        </w:rPr>
        <w:t>:30 alle 1</w:t>
      </w:r>
      <w:r w:rsidR="00444A65">
        <w:rPr>
          <w:rFonts w:ascii="Corbel" w:eastAsia="Corbel" w:hAnsi="Corbel" w:cs="Corbel"/>
        </w:rPr>
        <w:t>2</w:t>
      </w:r>
      <w:r>
        <w:rPr>
          <w:rFonts w:ascii="Corbel" w:eastAsia="Corbel" w:hAnsi="Corbel" w:cs="Corbel"/>
        </w:rPr>
        <w:t>:30</w:t>
      </w:r>
    </w:p>
    <w:p w14:paraId="22EFEC5F" w14:textId="77777777" w:rsidR="00770864" w:rsidRDefault="00770864" w:rsidP="00770864">
      <w:pPr>
        <w:spacing w:after="0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Esame finale</w:t>
      </w:r>
    </w:p>
    <w:p w14:paraId="46EDEEB9" w14:textId="77777777" w:rsidR="00152D8F" w:rsidRDefault="00152D8F" w:rsidP="00152D8F">
      <w:pPr>
        <w:jc w:val="both"/>
        <w:rPr>
          <w:rFonts w:ascii="Corbel" w:eastAsia="Corbel" w:hAnsi="Corbel" w:cs="Corbel"/>
        </w:rPr>
      </w:pPr>
    </w:p>
    <w:p w14:paraId="7DF42E89" w14:textId="2060A80A" w:rsidR="00152D8F" w:rsidRDefault="00152D8F" w:rsidP="00152D8F">
      <w:pPr>
        <w:jc w:val="both"/>
        <w:rPr>
          <w:rFonts w:ascii="Corbel" w:eastAsia="Corbel" w:hAnsi="Corbel" w:cs="Corbel"/>
        </w:rPr>
      </w:pPr>
      <w:r w:rsidRPr="00913587">
        <w:rPr>
          <w:rFonts w:ascii="Corbel" w:eastAsia="Corbel" w:hAnsi="Corbel" w:cs="Corbel"/>
        </w:rPr>
        <w:t>Gli studenti</w:t>
      </w:r>
      <w:r>
        <w:rPr>
          <w:rFonts w:ascii="Corbel" w:eastAsia="Corbel" w:hAnsi="Corbel" w:cs="Corbel"/>
        </w:rPr>
        <w:t xml:space="preserve"> in sede d’esame</w:t>
      </w:r>
      <w:r w:rsidRPr="00913587">
        <w:rPr>
          <w:rFonts w:ascii="Corbel" w:eastAsia="Corbel" w:hAnsi="Corbel" w:cs="Corbel"/>
        </w:rPr>
        <w:t xml:space="preserve"> dovranno rispondere a </w:t>
      </w:r>
      <w:r>
        <w:rPr>
          <w:rFonts w:ascii="Corbel" w:eastAsia="Corbel" w:hAnsi="Corbel" w:cs="Corbel"/>
        </w:rPr>
        <w:t>20 domande chiuse (a risposta multipla) e a 3</w:t>
      </w:r>
      <w:r w:rsidRPr="00913587">
        <w:rPr>
          <w:rFonts w:ascii="Corbel" w:eastAsia="Corbel" w:hAnsi="Corbel" w:cs="Corbel"/>
        </w:rPr>
        <w:t xml:space="preserve"> domande aperte su tutto il programma del corso. </w:t>
      </w:r>
      <w:r>
        <w:rPr>
          <w:rFonts w:ascii="Corbel" w:eastAsia="Corbel" w:hAnsi="Corbel" w:cs="Corbel"/>
        </w:rPr>
        <w:t xml:space="preserve"> Agli studenti che hanno preso parte alle esercitazioni svolte durante il corso saranno abbonate 3 domande chiuse e una domanda aperta in sede di esame.</w:t>
      </w:r>
    </w:p>
    <w:p w14:paraId="19F587AB" w14:textId="4593C6C1" w:rsidR="00913587" w:rsidRPr="00152D8F" w:rsidRDefault="004346DC" w:rsidP="0079026D">
      <w:pPr>
        <w:jc w:val="both"/>
        <w:rPr>
          <w:rFonts w:ascii="Corbel" w:eastAsia="Corbel" w:hAnsi="Corbel" w:cs="Corbel"/>
          <w:b/>
          <w:bCs/>
        </w:rPr>
      </w:pPr>
      <w:r w:rsidRPr="00152D8F">
        <w:rPr>
          <w:rFonts w:ascii="Corbel" w:eastAsia="Corbel" w:hAnsi="Corbel" w:cs="Corbel"/>
          <w:b/>
          <w:bCs/>
        </w:rPr>
        <w:t>Testi</w:t>
      </w:r>
      <w:r w:rsidR="00913587" w:rsidRPr="00152D8F">
        <w:rPr>
          <w:rFonts w:ascii="Corbel" w:eastAsia="Corbel" w:hAnsi="Corbel" w:cs="Corbel"/>
          <w:b/>
          <w:bCs/>
        </w:rPr>
        <w:t xml:space="preserve"> di riferimento:</w:t>
      </w:r>
    </w:p>
    <w:p w14:paraId="6D2EB0C3" w14:textId="77777777" w:rsidR="004346DC" w:rsidRDefault="004346DC" w:rsidP="004346DC">
      <w:pPr>
        <w:pStyle w:val="Paragrafoelenco"/>
        <w:numPr>
          <w:ilvl w:val="0"/>
          <w:numId w:val="1"/>
        </w:numPr>
        <w:jc w:val="both"/>
        <w:rPr>
          <w:rFonts w:ascii="Corbel" w:eastAsia="Corbel" w:hAnsi="Corbel" w:cs="Corbel"/>
        </w:rPr>
      </w:pPr>
      <w:r w:rsidRPr="00913587">
        <w:rPr>
          <w:rFonts w:ascii="Corbel" w:eastAsia="Corbel" w:hAnsi="Corbel" w:cs="Corbel"/>
        </w:rPr>
        <w:t>di Carpegna Brivio</w:t>
      </w:r>
      <w:r w:rsidRPr="004346DC">
        <w:rPr>
          <w:rFonts w:ascii="Corbel" w:eastAsia="Corbel" w:hAnsi="Corbel" w:cs="Corbel"/>
        </w:rPr>
        <w:t xml:space="preserve"> </w:t>
      </w:r>
      <w:r w:rsidRPr="00913587"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</w:rPr>
        <w:t>. (2021)</w:t>
      </w:r>
      <w:r w:rsidRPr="00913587">
        <w:rPr>
          <w:rFonts w:ascii="Corbel" w:eastAsia="Corbel" w:hAnsi="Corbel" w:cs="Corbel"/>
        </w:rPr>
        <w:t>, Rappresentanza nazionale e valutazione delle politiche pubbli</w:t>
      </w:r>
      <w:r>
        <w:rPr>
          <w:rFonts w:ascii="Corbel" w:eastAsia="Corbel" w:hAnsi="Corbel" w:cs="Corbel"/>
        </w:rPr>
        <w:t>che, G. Giappichelli Editore,</w:t>
      </w:r>
      <w:r w:rsidRPr="00913587">
        <w:rPr>
          <w:rFonts w:ascii="Corbel" w:eastAsia="Corbel" w:hAnsi="Corbel" w:cs="Corbel"/>
        </w:rPr>
        <w:t xml:space="preserve"> capp. 1-3.</w:t>
      </w:r>
    </w:p>
    <w:p w14:paraId="05BC64C3" w14:textId="77777777" w:rsidR="004346DC" w:rsidRPr="00913587" w:rsidRDefault="004346DC" w:rsidP="004346DC">
      <w:pPr>
        <w:pStyle w:val="Paragrafoelenco"/>
        <w:numPr>
          <w:ilvl w:val="0"/>
          <w:numId w:val="1"/>
        </w:numPr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Martini A., Sisti M. (2009), </w:t>
      </w:r>
      <w:r w:rsidRPr="004346DC">
        <w:rPr>
          <w:rFonts w:ascii="Corbel" w:eastAsia="Corbel" w:hAnsi="Corbel" w:cs="Corbel"/>
        </w:rPr>
        <w:t>Valutare il successo delle politiche pubbliche</w:t>
      </w:r>
      <w:r>
        <w:rPr>
          <w:rFonts w:ascii="Corbel" w:eastAsia="Corbel" w:hAnsi="Corbel" w:cs="Corbel"/>
        </w:rPr>
        <w:t xml:space="preserve">, Il Mulino, </w:t>
      </w:r>
      <w:proofErr w:type="spellStart"/>
      <w:r>
        <w:rPr>
          <w:rFonts w:ascii="Corbel" w:eastAsia="Corbel" w:hAnsi="Corbel" w:cs="Corbel"/>
        </w:rPr>
        <w:t>capp</w:t>
      </w:r>
      <w:proofErr w:type="spellEnd"/>
      <w:r>
        <w:rPr>
          <w:rFonts w:ascii="Corbel" w:eastAsia="Corbel" w:hAnsi="Corbel" w:cs="Corbel"/>
        </w:rPr>
        <w:t>- 1-5.</w:t>
      </w:r>
    </w:p>
    <w:p w14:paraId="43CA799F" w14:textId="3DB7002B" w:rsidR="00913587" w:rsidRDefault="0052616A" w:rsidP="0079026D">
      <w:pPr>
        <w:pStyle w:val="Paragrafoelenco"/>
        <w:numPr>
          <w:ilvl w:val="0"/>
          <w:numId w:val="1"/>
        </w:numPr>
        <w:jc w:val="both"/>
        <w:rPr>
          <w:rFonts w:ascii="Corbel" w:eastAsia="Corbel" w:hAnsi="Corbel" w:cs="Corbel"/>
        </w:rPr>
      </w:pPr>
      <w:proofErr w:type="spellStart"/>
      <w:r w:rsidRPr="00913587">
        <w:rPr>
          <w:rFonts w:ascii="Corbel" w:eastAsia="Corbel" w:hAnsi="Corbel" w:cs="Corbel"/>
        </w:rPr>
        <w:t>Regonini</w:t>
      </w:r>
      <w:proofErr w:type="spellEnd"/>
      <w:r w:rsidR="004346DC">
        <w:rPr>
          <w:rFonts w:ascii="Corbel" w:eastAsia="Corbel" w:hAnsi="Corbel" w:cs="Corbel"/>
        </w:rPr>
        <w:t xml:space="preserve"> G. (2012)</w:t>
      </w:r>
      <w:r w:rsidRPr="00913587">
        <w:rPr>
          <w:rFonts w:ascii="Corbel" w:eastAsia="Corbel" w:hAnsi="Corbel" w:cs="Corbel"/>
        </w:rPr>
        <w:t xml:space="preserve">, Scienze del pubblico e istituzioni, in Rivista Italiana di Politiche Pubbliche, </w:t>
      </w:r>
      <w:r w:rsidR="004346DC">
        <w:rPr>
          <w:rFonts w:ascii="Corbel" w:eastAsia="Corbel" w:hAnsi="Corbel" w:cs="Corbel"/>
        </w:rPr>
        <w:t xml:space="preserve">n. </w:t>
      </w:r>
      <w:r w:rsidRPr="00913587">
        <w:rPr>
          <w:rFonts w:ascii="Corbel" w:eastAsia="Corbel" w:hAnsi="Corbel" w:cs="Corbel"/>
        </w:rPr>
        <w:t xml:space="preserve">1/2012, pp. 5-32, </w:t>
      </w:r>
      <w:proofErr w:type="spellStart"/>
      <w:r w:rsidRPr="00913587">
        <w:rPr>
          <w:rFonts w:ascii="Corbel" w:eastAsia="Corbel" w:hAnsi="Corbel" w:cs="Corbel"/>
        </w:rPr>
        <w:t>doi</w:t>
      </w:r>
      <w:proofErr w:type="spellEnd"/>
      <w:r w:rsidRPr="00913587">
        <w:rPr>
          <w:rFonts w:ascii="Corbel" w:eastAsia="Corbel" w:hAnsi="Corbel" w:cs="Corbel"/>
        </w:rPr>
        <w:t>: 10.1483/36733</w:t>
      </w:r>
      <w:r w:rsidR="00913587" w:rsidRPr="00913587">
        <w:rPr>
          <w:rFonts w:ascii="Corbel" w:eastAsia="Corbel" w:hAnsi="Corbel" w:cs="Corbel"/>
        </w:rPr>
        <w:t xml:space="preserve"> </w:t>
      </w:r>
    </w:p>
    <w:p w14:paraId="502815AE" w14:textId="081C7A6E" w:rsidR="00913587" w:rsidRDefault="0052616A" w:rsidP="0079026D">
      <w:pPr>
        <w:pStyle w:val="Paragrafoelenco"/>
        <w:numPr>
          <w:ilvl w:val="0"/>
          <w:numId w:val="1"/>
        </w:numPr>
        <w:jc w:val="both"/>
        <w:rPr>
          <w:rFonts w:ascii="Corbel" w:eastAsia="Corbel" w:hAnsi="Corbel" w:cs="Corbel"/>
        </w:rPr>
      </w:pPr>
      <w:proofErr w:type="spellStart"/>
      <w:r w:rsidRPr="00913587">
        <w:rPr>
          <w:rFonts w:ascii="Corbel" w:eastAsia="Corbel" w:hAnsi="Corbel" w:cs="Corbel"/>
        </w:rPr>
        <w:t>Regonini</w:t>
      </w:r>
      <w:proofErr w:type="spellEnd"/>
      <w:r w:rsidR="004346DC">
        <w:rPr>
          <w:rFonts w:ascii="Corbel" w:eastAsia="Corbel" w:hAnsi="Corbel" w:cs="Corbel"/>
        </w:rPr>
        <w:t xml:space="preserve"> G. (2012), Parlamenti analitici, in </w:t>
      </w:r>
      <w:r w:rsidRPr="00913587">
        <w:rPr>
          <w:rFonts w:ascii="Corbel" w:eastAsia="Corbel" w:hAnsi="Corbel" w:cs="Corbel"/>
        </w:rPr>
        <w:t xml:space="preserve">Rivista Italiana di Politiche Pubbliche, </w:t>
      </w:r>
      <w:r w:rsidR="004346DC">
        <w:rPr>
          <w:rFonts w:ascii="Corbel" w:eastAsia="Corbel" w:hAnsi="Corbel" w:cs="Corbel"/>
        </w:rPr>
        <w:t xml:space="preserve">n. </w:t>
      </w:r>
      <w:r w:rsidRPr="00913587">
        <w:rPr>
          <w:rFonts w:ascii="Corbel" w:eastAsia="Corbel" w:hAnsi="Corbel" w:cs="Corbel"/>
        </w:rPr>
        <w:t xml:space="preserve">1/2012, pp. 33-88, </w:t>
      </w:r>
      <w:proofErr w:type="spellStart"/>
      <w:r w:rsidRPr="00913587">
        <w:rPr>
          <w:rFonts w:ascii="Corbel" w:eastAsia="Corbel" w:hAnsi="Corbel" w:cs="Corbel"/>
        </w:rPr>
        <w:t>doi</w:t>
      </w:r>
      <w:proofErr w:type="spellEnd"/>
      <w:r w:rsidRPr="00913587">
        <w:rPr>
          <w:rFonts w:ascii="Corbel" w:eastAsia="Corbel" w:hAnsi="Corbel" w:cs="Corbel"/>
        </w:rPr>
        <w:t>: 10.1483/36734</w:t>
      </w:r>
      <w:r w:rsidR="00913587" w:rsidRPr="00913587">
        <w:rPr>
          <w:rFonts w:ascii="Corbel" w:eastAsia="Corbel" w:hAnsi="Corbel" w:cs="Corbel"/>
        </w:rPr>
        <w:t xml:space="preserve"> </w:t>
      </w:r>
    </w:p>
    <w:p w14:paraId="0970F89F" w14:textId="1B016C98" w:rsidR="00913587" w:rsidRDefault="00913587" w:rsidP="004346DC">
      <w:pPr>
        <w:pStyle w:val="Paragrafoelenco"/>
        <w:numPr>
          <w:ilvl w:val="0"/>
          <w:numId w:val="1"/>
        </w:numPr>
        <w:jc w:val="both"/>
        <w:rPr>
          <w:rFonts w:ascii="Corbel" w:eastAsia="Corbel" w:hAnsi="Corbel" w:cs="Corbel"/>
        </w:rPr>
      </w:pPr>
      <w:proofErr w:type="spellStart"/>
      <w:r w:rsidRPr="00913587">
        <w:rPr>
          <w:rFonts w:ascii="Corbel" w:eastAsia="Corbel" w:hAnsi="Corbel" w:cs="Corbel"/>
        </w:rPr>
        <w:t>Regonini</w:t>
      </w:r>
      <w:proofErr w:type="spellEnd"/>
      <w:r w:rsidR="004346DC">
        <w:rPr>
          <w:rFonts w:ascii="Corbel" w:eastAsia="Corbel" w:hAnsi="Corbel" w:cs="Corbel"/>
        </w:rPr>
        <w:t xml:space="preserve"> G. (2001)</w:t>
      </w:r>
      <w:r w:rsidRPr="00913587">
        <w:rPr>
          <w:rFonts w:ascii="Corbel" w:eastAsia="Corbel" w:hAnsi="Corbel" w:cs="Corbel"/>
        </w:rPr>
        <w:t>, C</w:t>
      </w:r>
      <w:r w:rsidR="004346DC">
        <w:rPr>
          <w:rFonts w:ascii="Corbel" w:eastAsia="Corbel" w:hAnsi="Corbel" w:cs="Corbel"/>
        </w:rPr>
        <w:t xml:space="preserve">apire le politiche pubbliche, </w:t>
      </w:r>
      <w:r w:rsidRPr="00913587">
        <w:rPr>
          <w:rFonts w:ascii="Corbel" w:eastAsia="Corbel" w:hAnsi="Corbel" w:cs="Corbel"/>
        </w:rPr>
        <w:t>Il Mulino</w:t>
      </w:r>
      <w:r w:rsidR="004346DC">
        <w:rPr>
          <w:rFonts w:ascii="Corbel" w:eastAsia="Corbel" w:hAnsi="Corbel" w:cs="Corbel"/>
        </w:rPr>
        <w:t xml:space="preserve">, Parte </w:t>
      </w:r>
      <w:r w:rsidR="004346DC" w:rsidRPr="004346DC">
        <w:rPr>
          <w:rFonts w:ascii="Corbel" w:eastAsia="Corbel" w:hAnsi="Corbel" w:cs="Corbel"/>
        </w:rPr>
        <w:t>I</w:t>
      </w:r>
      <w:r w:rsidR="004346DC">
        <w:rPr>
          <w:rFonts w:ascii="Corbel" w:eastAsia="Corbel" w:hAnsi="Corbel" w:cs="Corbel"/>
        </w:rPr>
        <w:t>:</w:t>
      </w:r>
      <w:r w:rsidR="004346DC" w:rsidRPr="004346DC">
        <w:rPr>
          <w:rFonts w:ascii="Corbel" w:eastAsia="Corbel" w:hAnsi="Corbel" w:cs="Corbel"/>
        </w:rPr>
        <w:t xml:space="preserve"> Vedere le Politiche Pubbliche</w:t>
      </w:r>
      <w:r w:rsidR="004346DC">
        <w:rPr>
          <w:rFonts w:ascii="Corbel" w:eastAsia="Corbel" w:hAnsi="Corbel" w:cs="Corbel"/>
        </w:rPr>
        <w:t>.</w:t>
      </w:r>
    </w:p>
    <w:p w14:paraId="25EFDA17" w14:textId="77777777" w:rsidR="00913587" w:rsidRDefault="00913587" w:rsidP="00913587">
      <w:pPr>
        <w:rPr>
          <w:rFonts w:ascii="Corbel" w:eastAsia="Corbel" w:hAnsi="Corbel" w:cs="Corbel"/>
        </w:rPr>
      </w:pPr>
    </w:p>
    <w:p w14:paraId="5F495226" w14:textId="06C69DC3" w:rsidR="005D40F7" w:rsidRPr="005D40F7" w:rsidRDefault="005D40F7">
      <w:pPr>
        <w:rPr>
          <w:b/>
          <w:bCs/>
        </w:rPr>
      </w:pPr>
      <w:r w:rsidRPr="005D40F7">
        <w:rPr>
          <w:b/>
          <w:bCs/>
        </w:rPr>
        <w:lastRenderedPageBreak/>
        <w:t>Programma dettagliato</w:t>
      </w:r>
      <w:r w:rsidR="00DA7BCD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1277"/>
        <w:gridCol w:w="574"/>
        <w:gridCol w:w="1126"/>
        <w:gridCol w:w="4388"/>
      </w:tblGrid>
      <w:tr w:rsidR="00DA7BCD" w:rsidRPr="00913587" w14:paraId="30E26C60" w14:textId="77777777" w:rsidTr="00232E64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7DA7D472" w14:textId="77777777" w:rsidR="00DA7BCD" w:rsidRPr="00913587" w:rsidRDefault="00DA7BCD" w:rsidP="00DA7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587">
              <w:rPr>
                <w:rFonts w:cstheme="minorHAnsi"/>
                <w:b/>
                <w:sz w:val="20"/>
                <w:szCs w:val="20"/>
              </w:rPr>
              <w:t>Giorno</w:t>
            </w:r>
          </w:p>
        </w:tc>
        <w:tc>
          <w:tcPr>
            <w:tcW w:w="850" w:type="dxa"/>
            <w:noWrap/>
            <w:vAlign w:val="center"/>
            <w:hideMark/>
          </w:tcPr>
          <w:p w14:paraId="2A8E0251" w14:textId="77777777" w:rsidR="00DA7BCD" w:rsidRPr="00913587" w:rsidRDefault="00DA7BCD" w:rsidP="00DA7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587">
              <w:rPr>
                <w:rFonts w:cstheme="minorHAnsi"/>
                <w:b/>
                <w:sz w:val="20"/>
                <w:szCs w:val="20"/>
              </w:rPr>
              <w:t>Ora</w:t>
            </w:r>
          </w:p>
        </w:tc>
        <w:tc>
          <w:tcPr>
            <w:tcW w:w="1277" w:type="dxa"/>
            <w:noWrap/>
            <w:vAlign w:val="center"/>
            <w:hideMark/>
          </w:tcPr>
          <w:p w14:paraId="24FB9C4B" w14:textId="77777777" w:rsidR="00DA7BCD" w:rsidRPr="00913587" w:rsidRDefault="00DA7BCD" w:rsidP="00DA7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587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574" w:type="dxa"/>
            <w:noWrap/>
            <w:vAlign w:val="center"/>
            <w:hideMark/>
          </w:tcPr>
          <w:p w14:paraId="63A7ABEE" w14:textId="77777777" w:rsidR="00DA7BCD" w:rsidRPr="00913587" w:rsidRDefault="00DA7BCD" w:rsidP="00DA7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587">
              <w:rPr>
                <w:rFonts w:cstheme="minorHAnsi"/>
                <w:b/>
                <w:sz w:val="20"/>
                <w:szCs w:val="20"/>
              </w:rPr>
              <w:t>ore</w:t>
            </w:r>
          </w:p>
        </w:tc>
        <w:tc>
          <w:tcPr>
            <w:tcW w:w="1126" w:type="dxa"/>
            <w:vAlign w:val="center"/>
          </w:tcPr>
          <w:p w14:paraId="7E1BEA58" w14:textId="16602AA9" w:rsidR="00DA7BCD" w:rsidRPr="00913587" w:rsidRDefault="00DA7BCD" w:rsidP="00DA7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4388" w:type="dxa"/>
            <w:vAlign w:val="center"/>
            <w:hideMark/>
          </w:tcPr>
          <w:p w14:paraId="500026EF" w14:textId="75A961DA" w:rsidR="00DA7BCD" w:rsidRPr="00913587" w:rsidRDefault="00DA7BCD" w:rsidP="00DA7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587">
              <w:rPr>
                <w:rFonts w:cstheme="minorHAnsi"/>
                <w:b/>
                <w:sz w:val="20"/>
                <w:szCs w:val="20"/>
              </w:rPr>
              <w:t>ARGOMENTO</w:t>
            </w:r>
          </w:p>
        </w:tc>
      </w:tr>
      <w:tr w:rsidR="00DA7BCD" w:rsidRPr="00913587" w14:paraId="3F569955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96478A3" w14:textId="41229DDB" w:rsidR="00DA7BCD" w:rsidRPr="00913587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02/10/2023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74F649" w14:textId="163729B9" w:rsidR="00DA7BCD" w:rsidRPr="00913587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10.30-13.30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81905BF" w14:textId="4C2E15E3" w:rsidR="00DA7BCD" w:rsidRPr="00913587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Gloria </w:t>
            </w:r>
            <w:proofErr w:type="spellStart"/>
            <w:r>
              <w:rPr>
                <w:rFonts w:ascii="Calibri" w:hAnsi="Calibri" w:cs="Calibri"/>
                <w:color w:val="000000"/>
              </w:rPr>
              <w:t>Regonini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42FE1ED8" w14:textId="78D3A862" w:rsidR="00DA7BCD" w:rsidRPr="00913587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14:paraId="0994F411" w14:textId="201AA1DA" w:rsidR="00DA7BCD" w:rsidRPr="00232E64" w:rsidRDefault="00232E64" w:rsidP="00DA7BCD">
            <w:pPr>
              <w:jc w:val="center"/>
              <w:rPr>
                <w:rFonts w:ascii="Corbel" w:hAnsi="Corbel" w:cs="Calibri"/>
                <w:color w:val="000000"/>
                <w:lang w:val="es-ES"/>
              </w:rPr>
            </w:pPr>
            <w:r w:rsidRPr="00232E64">
              <w:rPr>
                <w:rFonts w:ascii="Corbel" w:hAnsi="Corbel" w:cs="Calibri"/>
                <w:color w:val="000000"/>
                <w:lang w:val="es-ES"/>
              </w:rPr>
              <w:t xml:space="preserve">U6-11 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464E27B8" w14:textId="0FFA1F71" w:rsidR="00DA7BCD" w:rsidRPr="00913587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</w:rPr>
              <w:t>Introduzione alle politiche pubbliche e la valutazione delle politiche pubbliche in Europa e negli Stati Uniti</w:t>
            </w:r>
          </w:p>
        </w:tc>
      </w:tr>
      <w:tr w:rsidR="00DA7BCD" w:rsidRPr="00913587" w14:paraId="1D563350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452366" w14:textId="1352F5F2" w:rsidR="00DA7BCD" w:rsidRPr="00913587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03/10/2023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6BF1E0" w14:textId="765F2853" w:rsidR="00DA7BCD" w:rsidRPr="00913587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10:30-12.30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B2ACE8E" w14:textId="7382F3B5" w:rsidR="00DA7BCD" w:rsidRPr="00913587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Gloria </w:t>
            </w:r>
            <w:proofErr w:type="spellStart"/>
            <w:r>
              <w:rPr>
                <w:rFonts w:ascii="Calibri" w:hAnsi="Calibri" w:cs="Calibri"/>
                <w:color w:val="000000"/>
              </w:rPr>
              <w:t>Regonini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7442EF8E" w14:textId="73960F28" w:rsidR="00DA7BCD" w:rsidRPr="00913587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6" w:type="dxa"/>
            <w:vAlign w:val="center"/>
          </w:tcPr>
          <w:p w14:paraId="3D46ADA9" w14:textId="20547E79" w:rsidR="00DA7BCD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</w:rPr>
              <w:t>U6-03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0F85DC04" w14:textId="3263E4A0" w:rsidR="00DA7BCD" w:rsidRPr="00913587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</w:rPr>
              <w:t>Le informazioni e i dati sulle politiche pubbliche: dalla stampa alle banche dati</w:t>
            </w:r>
          </w:p>
        </w:tc>
      </w:tr>
      <w:tr w:rsidR="00DA7BCD" w:rsidRPr="00913587" w14:paraId="74FCA1B2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EFB3DD6" w14:textId="116C5D41" w:rsidR="00DA7BCD" w:rsidRPr="00913587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09/10/2023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7FEFF1" w14:textId="59FA760A" w:rsidR="00DA7BCD" w:rsidRPr="00913587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10.30-13.30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224C90A" w14:textId="16F8D4F6" w:rsidR="00DA7BCD" w:rsidRPr="00913587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Valentina Battiloro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38417254" w14:textId="67DB6E42" w:rsidR="00DA7BCD" w:rsidRPr="00913587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14:paraId="7D80387F" w14:textId="385A4D9B" w:rsidR="00DA7BCD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  <w:lang w:val="es-ES"/>
              </w:rPr>
              <w:t>U6-11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4411ABE7" w14:textId="5A52E828" w:rsidR="00DA7BCD" w:rsidRPr="00913587" w:rsidRDefault="00954402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402">
              <w:rPr>
                <w:rFonts w:ascii="Corbel" w:hAnsi="Corbel" w:cs="Calibri"/>
                <w:color w:val="000000"/>
              </w:rPr>
              <w:t>Le logiche di analisi e valutazione delle politiche pubbliche</w:t>
            </w:r>
          </w:p>
        </w:tc>
      </w:tr>
      <w:tr w:rsidR="00DA7BCD" w:rsidRPr="00232E64" w14:paraId="271F0818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AD40F45" w14:textId="343D956E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10/10/2023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5A893B" w14:textId="76EEBB14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10:30-12.30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04F7AFF" w14:textId="77145A3B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Elena di Carpegna Brivio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742E44F3" w14:textId="59D5B645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EB7C065" w14:textId="0E58552D" w:rsidR="00DA7BCD" w:rsidRPr="00232E64" w:rsidRDefault="00DA7BCD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</w:rPr>
              <w:t>Lezione online asincrona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6F9AF7BD" w14:textId="3B044AD6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orbel" w:hAnsi="Corbel" w:cs="Calibri"/>
                <w:color w:val="000000"/>
              </w:rPr>
              <w:t>Norme e attori istituzionali della valutazione (Parlamento, Regioni)</w:t>
            </w:r>
          </w:p>
        </w:tc>
      </w:tr>
      <w:tr w:rsidR="00DA7BCD" w:rsidRPr="00232E64" w14:paraId="6B49BF72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C865310" w14:textId="07C8C9B6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16/10/2023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2D7E8D" w14:textId="3A0E2358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10.30-13.30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45CDD3D" w14:textId="43A191ED" w:rsidR="00DA7BCD" w:rsidRPr="00232E64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Valentina Battiloro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79A023EE" w14:textId="29FAF2CC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14:paraId="31AE2B1B" w14:textId="7B601443" w:rsidR="00DA7BCD" w:rsidRPr="00232E64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  <w:lang w:val="es-ES"/>
              </w:rPr>
              <w:t>U6-11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095DB732" w14:textId="11C16DB6" w:rsidR="00DA7BCD" w:rsidRPr="00232E64" w:rsidRDefault="00954402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402">
              <w:rPr>
                <w:rFonts w:ascii="Corbel" w:hAnsi="Corbel" w:cs="Calibri"/>
                <w:color w:val="000000"/>
              </w:rPr>
              <w:t>Le logiche di analisi e valutazione delle politiche pubbliche</w:t>
            </w:r>
          </w:p>
        </w:tc>
      </w:tr>
      <w:tr w:rsidR="00DA7BCD" w:rsidRPr="00232E64" w14:paraId="5A06C177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4260CB" w14:textId="66640628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17/10/2023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880046" w14:textId="750B4FE5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10.30-12.30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47F3D92" w14:textId="3958F7CB" w:rsidR="00DA7BCD" w:rsidRPr="00232E64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Valentina Battiloro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069D01A" w14:textId="34DD7311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6" w:type="dxa"/>
            <w:vAlign w:val="center"/>
          </w:tcPr>
          <w:p w14:paraId="1EA60767" w14:textId="4FA79359" w:rsidR="00DA7BCD" w:rsidRPr="00232E64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</w:rPr>
              <w:t>U6-03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17776267" w14:textId="6C46C33D" w:rsidR="00DA7BCD" w:rsidRPr="00232E64" w:rsidRDefault="00954402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402">
              <w:rPr>
                <w:rFonts w:ascii="Corbel" w:hAnsi="Corbel" w:cs="Calibri"/>
                <w:color w:val="000000"/>
              </w:rPr>
              <w:t>La rendicontazione delle realizzazioni</w:t>
            </w:r>
          </w:p>
        </w:tc>
      </w:tr>
      <w:tr w:rsidR="00DA7BCD" w:rsidRPr="00232E64" w14:paraId="53076B72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038C6F9" w14:textId="2068BA3B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23/10/2023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362902" w14:textId="2DF6C939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10.30-13.30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1CFF072" w14:textId="5D6C829A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Elena di Carpegna Brivio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7147FA29" w14:textId="418F1050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14:paraId="7EF4279D" w14:textId="2FF65031" w:rsidR="00DA7BCD" w:rsidRPr="00232E64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  <w:lang w:val="es-ES"/>
              </w:rPr>
              <w:t>U6-11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14:paraId="62E0541B" w14:textId="18396181" w:rsidR="00DA7BCD" w:rsidRPr="00232E64" w:rsidRDefault="00954402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402">
              <w:rPr>
                <w:rFonts w:ascii="Corbel" w:hAnsi="Corbel" w:cs="Calibri"/>
                <w:color w:val="000000"/>
              </w:rPr>
              <w:t xml:space="preserve">Norme e attori istituzionali della valutazione </w:t>
            </w:r>
            <w:r w:rsidR="005F6A5E" w:rsidRPr="00954402">
              <w:rPr>
                <w:rFonts w:ascii="Corbel" w:hAnsi="Corbel" w:cs="Calibri"/>
                <w:color w:val="000000"/>
              </w:rPr>
              <w:t>(</w:t>
            </w:r>
            <w:proofErr w:type="gramStart"/>
            <w:r w:rsidR="005F6A5E" w:rsidRPr="00954402">
              <w:rPr>
                <w:rFonts w:ascii="Corbel" w:hAnsi="Corbel" w:cs="Calibri"/>
                <w:color w:val="000000"/>
              </w:rPr>
              <w:t>Corte dei Conti</w:t>
            </w:r>
            <w:proofErr w:type="gramEnd"/>
            <w:r w:rsidR="005F6A5E" w:rsidRPr="00954402">
              <w:rPr>
                <w:rFonts w:ascii="Corbel" w:hAnsi="Corbel" w:cs="Calibri"/>
                <w:color w:val="000000"/>
              </w:rPr>
              <w:t>, Unione Europea)</w:t>
            </w:r>
          </w:p>
        </w:tc>
      </w:tr>
      <w:tr w:rsidR="00DA7BCD" w:rsidRPr="00232E64" w14:paraId="53E4B238" w14:textId="77777777" w:rsidTr="00232E64">
        <w:trPr>
          <w:trHeight w:val="100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EB1D3DF" w14:textId="3E3C65DB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24/10/2023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19FB95" w14:textId="0E150022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10.30-12.30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AD580B5" w14:textId="26226018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Elena di Carpegna Brivio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BB78A14" w14:textId="4D6D289A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778C738" w14:textId="68CE89B7" w:rsidR="00DA7BCD" w:rsidRPr="00232E64" w:rsidRDefault="00DA7BCD" w:rsidP="00DA7BCD">
            <w:pPr>
              <w:jc w:val="center"/>
              <w:rPr>
                <w:rFonts w:ascii="Calibri" w:hAnsi="Calibri" w:cs="Calibri"/>
                <w:color w:val="000000"/>
              </w:rPr>
            </w:pPr>
            <w:r w:rsidRPr="00232E64">
              <w:rPr>
                <w:rFonts w:ascii="Calibri" w:hAnsi="Calibri" w:cs="Calibri"/>
                <w:color w:val="000000"/>
              </w:rPr>
              <w:t>Lezione online asincrona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02961D0A" w14:textId="1BDA13E1" w:rsidR="00DA7BCD" w:rsidRPr="00232E64" w:rsidRDefault="00954402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402">
              <w:rPr>
                <w:rFonts w:ascii="Corbel" w:hAnsi="Corbel" w:cs="Calibri"/>
                <w:color w:val="000000"/>
              </w:rPr>
              <w:t xml:space="preserve">Norme e attori istituzionali della valutazione </w:t>
            </w:r>
          </w:p>
        </w:tc>
      </w:tr>
      <w:tr w:rsidR="00DA7BCD" w:rsidRPr="00232E64" w14:paraId="7A4D5221" w14:textId="77777777" w:rsidTr="00232E64">
        <w:trPr>
          <w:trHeight w:val="100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95E0EC" w14:textId="78BDFFD2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30/10/2023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E2684C" w14:textId="693C6EDC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10.30-13.30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7C7E5AD" w14:textId="62C19E02" w:rsidR="00DA7BCD" w:rsidRPr="00232E64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Valentina Battiloro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2AC31549" w14:textId="39BE81CD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F816AE9" w14:textId="176F3967" w:rsidR="00DA7BCD" w:rsidRPr="00232E64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  <w:lang w:val="es-ES"/>
              </w:rPr>
              <w:t>U6-11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3CBB58E0" w14:textId="23BDB5D4" w:rsidR="00DA7BCD" w:rsidRPr="00232E64" w:rsidRDefault="005F6A5E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orbel" w:hAnsi="Corbel" w:cs="Calibri"/>
                <w:color w:val="000000"/>
              </w:rPr>
              <w:t>La ricostruzione della teoria del cambiamento attraverso il modello logico</w:t>
            </w:r>
          </w:p>
        </w:tc>
      </w:tr>
      <w:tr w:rsidR="00DA7BCD" w:rsidRPr="00232E64" w14:paraId="59C1FB83" w14:textId="77777777" w:rsidTr="00232E64">
        <w:trPr>
          <w:trHeight w:val="100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54A425" w14:textId="1E22DF43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31/10/2023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29BF22" w14:textId="1DEDC7AA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10.30-12.30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9967531" w14:textId="44E4328C" w:rsidR="00DA7BCD" w:rsidRPr="00232E64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Valentina Battiloro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3C1A8A41" w14:textId="71BD6648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2F97791" w14:textId="6ACC96CB" w:rsidR="00DA7BCD" w:rsidRPr="00232E64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</w:rPr>
              <w:t>U6-03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0AC8F093" w14:textId="53C9FFCC" w:rsidR="00DA7BCD" w:rsidRPr="00232E64" w:rsidRDefault="005F6A5E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6A5E">
              <w:rPr>
                <w:rFonts w:ascii="Corbel" w:hAnsi="Corbel" w:cs="Calibri"/>
                <w:color w:val="000000"/>
              </w:rPr>
              <w:t>L’analisi critica di implementazione: domande e strumenti</w:t>
            </w:r>
          </w:p>
        </w:tc>
      </w:tr>
      <w:tr w:rsidR="00DA7BCD" w:rsidRPr="00232E64" w14:paraId="13F00432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1DAAEB4" w14:textId="045D834F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06/11/2023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6CE843" w14:textId="4D659875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10.30-13.30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6172704" w14:textId="2524D9B9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Elena di Carpegna Brivio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1407250" w14:textId="3E3845CA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3C3B3BD" w14:textId="20F9D07A" w:rsidR="00DA7BCD" w:rsidRPr="00232E64" w:rsidRDefault="00232E64" w:rsidP="00DA7BCD">
            <w:pPr>
              <w:jc w:val="center"/>
              <w:rPr>
                <w:rFonts w:ascii="Calibri" w:hAnsi="Calibri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  <w:lang w:val="es-ES"/>
              </w:rPr>
              <w:t>U6-11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4BEE66F1" w14:textId="7BD376CA" w:rsidR="00DA7BCD" w:rsidRPr="00232E64" w:rsidRDefault="00954402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402">
              <w:rPr>
                <w:rFonts w:cstheme="minorHAnsi"/>
                <w:sz w:val="20"/>
                <w:szCs w:val="20"/>
              </w:rPr>
              <w:t xml:space="preserve">Norme e attori istituzionali della valutazione </w:t>
            </w:r>
          </w:p>
        </w:tc>
      </w:tr>
      <w:tr w:rsidR="00DA7BCD" w:rsidRPr="00232E64" w14:paraId="19F08336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9DDA111" w14:textId="2D0B3F3D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07/11/2023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78FE24" w14:textId="62B9674C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10.30-12.30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ABA7363" w14:textId="5BB996C8" w:rsidR="00DA7BCD" w:rsidRPr="00232E64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Elvira Carola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4DE95B4E" w14:textId="1E51078B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1D32E07" w14:textId="2BA70C6E" w:rsidR="00DA7BCD" w:rsidRPr="00232E64" w:rsidRDefault="00DA7BCD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</w:rPr>
              <w:t>Lezione online asincrona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71991CBD" w14:textId="75D32F86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orbel" w:hAnsi="Corbel" w:cs="Calibri"/>
                <w:color w:val="000000"/>
              </w:rPr>
              <w:t>Esperienze regionali di valutazione delle politiche pubbliche</w:t>
            </w:r>
          </w:p>
        </w:tc>
      </w:tr>
      <w:tr w:rsidR="00DA7BCD" w:rsidRPr="00232E64" w14:paraId="01F2B63C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AE66E88" w14:textId="336BFBAF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20/11/2023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2B2EEC" w14:textId="1DDC605C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10.30-13.30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4B3F391" w14:textId="49DE57C9" w:rsidR="00DA7BCD" w:rsidRPr="00232E64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Valentina Battiloro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693E7BB" w14:textId="3C54E170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14:paraId="673F8239" w14:textId="2ABFAAAB" w:rsidR="00DA7BCD" w:rsidRPr="00232E64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  <w:lang w:val="es-ES"/>
              </w:rPr>
              <w:t>U6-11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4B4DC7B1" w14:textId="474576A7" w:rsidR="00DA7BCD" w:rsidRPr="00232E64" w:rsidRDefault="005F6A5E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orbel" w:hAnsi="Corbel" w:cs="Calibri"/>
                <w:color w:val="000000"/>
              </w:rPr>
              <w:t xml:space="preserve">L’analisi critica di implementazione: esemplificazioni </w:t>
            </w:r>
            <w:r w:rsidR="006C4A1B" w:rsidRPr="00232E64">
              <w:rPr>
                <w:rFonts w:ascii="Corbel" w:hAnsi="Corbel" w:cs="Calibri"/>
                <w:color w:val="000000"/>
              </w:rPr>
              <w:t>+ esercitazione</w:t>
            </w:r>
          </w:p>
        </w:tc>
      </w:tr>
      <w:tr w:rsidR="00DA7BCD" w:rsidRPr="00232E64" w14:paraId="7AE0C621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BE9DC6C" w14:textId="1EB02817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27/11/2023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B9EB08" w14:textId="55DDB957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10.30-13.30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87A7CE8" w14:textId="6B109D74" w:rsidR="00DA7BCD" w:rsidRPr="00232E64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Michela Rocca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E169271" w14:textId="456EA676" w:rsidR="00DA7BCD" w:rsidRPr="00232E64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26" w:type="dxa"/>
            <w:vAlign w:val="center"/>
          </w:tcPr>
          <w:p w14:paraId="2F4F5CE4" w14:textId="3222AFD4" w:rsidR="00DA7BCD" w:rsidRPr="00232E64" w:rsidRDefault="00232E64" w:rsidP="00DA7BCD">
            <w:pPr>
              <w:jc w:val="center"/>
              <w:rPr>
                <w:rFonts w:ascii="Calibri" w:hAnsi="Calibri" w:cs="Calibri"/>
                <w:color w:val="000000"/>
              </w:rPr>
            </w:pPr>
            <w:r w:rsidRPr="00232E64">
              <w:rPr>
                <w:rFonts w:ascii="Calibri" w:hAnsi="Calibri" w:cs="Calibri"/>
                <w:color w:val="000000"/>
              </w:rPr>
              <w:t>Tbc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14:paraId="5A6F4CC3" w14:textId="14201EEE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La valutazione delle politiche regionali nel Consiglio regionale della Lombardia (lezione e visita al Consiglio, incontro con Presidente CPCV)</w:t>
            </w:r>
          </w:p>
        </w:tc>
      </w:tr>
      <w:tr w:rsidR="00DA7BCD" w:rsidRPr="00232E64" w14:paraId="761D4D68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C1DD268" w14:textId="13D5B68A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28/11/2023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1DA158" w14:textId="0F3BD0B1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10.30-12.30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EC38455" w14:textId="696E1CB8" w:rsidR="00DA7BCD" w:rsidRPr="00232E64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Michela Rocca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DB8A923" w14:textId="431A110F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6" w:type="dxa"/>
            <w:vAlign w:val="center"/>
          </w:tcPr>
          <w:p w14:paraId="51E0D1E7" w14:textId="67FC7B43" w:rsidR="00DA7BCD" w:rsidRPr="00232E64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</w:rPr>
              <w:t>Tbc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14:paraId="251A1ED3" w14:textId="66E040EE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orbel" w:hAnsi="Corbel" w:cs="Calibri"/>
                <w:color w:val="000000"/>
              </w:rPr>
              <w:t xml:space="preserve">Politiche pubbliche in Lombardia: casi di studio nei settori trasporto pubblico, sviluppo economico, inclusione sociale, sviluppo sostenibile, istruzione e formazione, politiche finanziate con i fondi SIE </w:t>
            </w:r>
          </w:p>
        </w:tc>
      </w:tr>
      <w:tr w:rsidR="00DA7BCD" w:rsidRPr="00232E64" w14:paraId="02FA7025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D2F76EE" w14:textId="7B6604F6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04/12/2023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F274E3" w14:textId="0F948866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10.30-13.30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07AD592" w14:textId="74D4FFFE" w:rsidR="00DA7BCD" w:rsidRPr="00232E64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Valentina Battiloro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33602938" w14:textId="11E27811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14:paraId="39987B83" w14:textId="16032D80" w:rsidR="00DA7BCD" w:rsidRPr="00232E64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  <w:lang w:val="es-ES"/>
              </w:rPr>
              <w:t>U6-11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14:paraId="0171BA08" w14:textId="38E162CF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orbel" w:hAnsi="Corbel" w:cs="Calibri"/>
                <w:color w:val="000000"/>
              </w:rPr>
              <w:t>L’analisi critica di implementazione: esemplificazioni + esercitazione</w:t>
            </w:r>
          </w:p>
        </w:tc>
      </w:tr>
      <w:tr w:rsidR="00DA7BCD" w:rsidRPr="00232E64" w14:paraId="0CBE03CE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BB9B0D5" w14:textId="6AA74534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lastRenderedPageBreak/>
              <w:t>11/12/2023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C18ACE" w14:textId="38F310D9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10.30-13.30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4F70037" w14:textId="4E48D888" w:rsidR="00DA7BCD" w:rsidRPr="00232E64" w:rsidRDefault="00232E64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Valentina Battiloro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02D00FBB" w14:textId="2DE93583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14:paraId="6F7DE909" w14:textId="12F55701" w:rsidR="00DA7BCD" w:rsidRPr="00232E64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  <w:lang w:val="es-ES"/>
              </w:rPr>
              <w:t>U6-11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14:paraId="06C69E92" w14:textId="3CCBBF7D" w:rsidR="00DA7BCD" w:rsidRPr="00232E64" w:rsidRDefault="00DA7BCD" w:rsidP="00DA7B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E64">
              <w:rPr>
                <w:rFonts w:ascii="Corbel" w:hAnsi="Corbel" w:cs="Calibri"/>
                <w:color w:val="000000"/>
              </w:rPr>
              <w:t>Comunicare la valutazione</w:t>
            </w:r>
          </w:p>
        </w:tc>
      </w:tr>
      <w:tr w:rsidR="00232E64" w:rsidRPr="00913587" w14:paraId="79AC2AAD" w14:textId="77777777" w:rsidTr="00232E64">
        <w:trPr>
          <w:trHeight w:val="593"/>
        </w:trPr>
        <w:tc>
          <w:tcPr>
            <w:tcW w:w="1413" w:type="dxa"/>
            <w:shd w:val="clear" w:color="auto" w:fill="auto"/>
            <w:noWrap/>
            <w:vAlign w:val="center"/>
          </w:tcPr>
          <w:p w14:paraId="2EEFF756" w14:textId="3E067E60" w:rsidR="00232E64" w:rsidRPr="00232E64" w:rsidRDefault="00232E64" w:rsidP="00DA7BCD">
            <w:pPr>
              <w:jc w:val="center"/>
              <w:rPr>
                <w:rFonts w:ascii="Calibri" w:hAnsi="Calibri" w:cs="Calibri"/>
                <w:color w:val="000000"/>
              </w:rPr>
            </w:pPr>
            <w:r w:rsidRPr="00232E64">
              <w:rPr>
                <w:rFonts w:ascii="Calibri" w:hAnsi="Calibri" w:cs="Calibri"/>
                <w:color w:val="000000"/>
              </w:rPr>
              <w:t>18/12/2023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F057DD" w14:textId="6C79973F" w:rsidR="00232E64" w:rsidRPr="00232E64" w:rsidRDefault="00232E64" w:rsidP="00DA7BCD">
            <w:pPr>
              <w:jc w:val="center"/>
              <w:rPr>
                <w:rFonts w:ascii="Calibri" w:hAnsi="Calibri" w:cs="Calibri"/>
                <w:color w:val="000000"/>
              </w:rPr>
            </w:pPr>
            <w:r w:rsidRPr="00232E64">
              <w:rPr>
                <w:rFonts w:ascii="Calibri" w:hAnsi="Calibri" w:cs="Calibri"/>
                <w:color w:val="000000"/>
              </w:rPr>
              <w:t>10.30- 13.30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D6786EA" w14:textId="4C0A2441" w:rsidR="00232E64" w:rsidRPr="00232E64" w:rsidRDefault="00232E64" w:rsidP="00DA7BCD">
            <w:pPr>
              <w:jc w:val="center"/>
              <w:rPr>
                <w:rFonts w:ascii="Calibri" w:hAnsi="Calibri" w:cs="Calibri"/>
                <w:color w:val="000000"/>
              </w:rPr>
            </w:pPr>
            <w:r w:rsidRPr="00232E64">
              <w:rPr>
                <w:rFonts w:ascii="Calibri" w:hAnsi="Calibri" w:cs="Calibri"/>
                <w:color w:val="000000"/>
              </w:rPr>
              <w:t>Michela Rocca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7AF7960" w14:textId="240E0188" w:rsidR="00232E64" w:rsidRPr="00232E64" w:rsidRDefault="00232E64" w:rsidP="00DA7BCD">
            <w:pPr>
              <w:jc w:val="center"/>
              <w:rPr>
                <w:rFonts w:ascii="Calibri" w:hAnsi="Calibri" w:cs="Calibri"/>
                <w:color w:val="000000"/>
              </w:rPr>
            </w:pPr>
            <w:r w:rsidRPr="00232E6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14:paraId="01D044D3" w14:textId="69176A1F" w:rsidR="00232E64" w:rsidRPr="00232E64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hAnsi="Corbel" w:cs="Calibri"/>
                <w:color w:val="000000"/>
                <w:lang w:val="es-ES"/>
              </w:rPr>
              <w:t>U6-11</w:t>
            </w:r>
          </w:p>
        </w:tc>
        <w:tc>
          <w:tcPr>
            <w:tcW w:w="4388" w:type="dxa"/>
            <w:shd w:val="clear" w:color="auto" w:fill="auto"/>
            <w:noWrap/>
            <w:vAlign w:val="center"/>
          </w:tcPr>
          <w:p w14:paraId="2DED0A2D" w14:textId="032646BD" w:rsidR="00232E64" w:rsidRDefault="00232E64" w:rsidP="00DA7BCD">
            <w:pPr>
              <w:jc w:val="center"/>
              <w:rPr>
                <w:rFonts w:ascii="Corbel" w:hAnsi="Corbel" w:cs="Calibri"/>
                <w:color w:val="000000"/>
              </w:rPr>
            </w:pPr>
            <w:r w:rsidRPr="00232E64">
              <w:rPr>
                <w:rFonts w:ascii="Corbel" w:eastAsia="Times New Roman" w:hAnsi="Corbel" w:cs="Calibri"/>
                <w:lang w:eastAsia="it-IT"/>
              </w:rPr>
              <w:t>Politiche pubbliche in Lombardia: casi di studio nei settori trasporto pubblico, sviluppo economico, inclusione sociale, sviluppo sostenibile, istruzione e formazione, politiche finanziate con i fondi SIE</w:t>
            </w:r>
          </w:p>
        </w:tc>
      </w:tr>
    </w:tbl>
    <w:p w14:paraId="535CF891" w14:textId="77777777" w:rsidR="005D40F7" w:rsidRDefault="005D40F7"/>
    <w:sectPr w:rsidR="005D40F7" w:rsidSect="005D40F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85A9" w14:textId="77777777" w:rsidR="0022015E" w:rsidRDefault="0022015E" w:rsidP="00913587">
      <w:pPr>
        <w:spacing w:after="0" w:line="240" w:lineRule="auto"/>
      </w:pPr>
      <w:r>
        <w:separator/>
      </w:r>
    </w:p>
  </w:endnote>
  <w:endnote w:type="continuationSeparator" w:id="0">
    <w:p w14:paraId="0BCE3C62" w14:textId="77777777" w:rsidR="0022015E" w:rsidRDefault="0022015E" w:rsidP="0091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837836"/>
      <w:docPartObj>
        <w:docPartGallery w:val="Page Numbers (Bottom of Page)"/>
        <w:docPartUnique/>
      </w:docPartObj>
    </w:sdtPr>
    <w:sdtContent>
      <w:p w14:paraId="2A983481" w14:textId="48C52CA6" w:rsidR="00913587" w:rsidRDefault="009135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E7B">
          <w:rPr>
            <w:noProof/>
          </w:rPr>
          <w:t>3</w:t>
        </w:r>
        <w:r>
          <w:fldChar w:fldCharType="end"/>
        </w:r>
      </w:p>
    </w:sdtContent>
  </w:sdt>
  <w:p w14:paraId="63362487" w14:textId="77777777" w:rsidR="00913587" w:rsidRDefault="009135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91AA" w14:textId="77777777" w:rsidR="0022015E" w:rsidRDefault="0022015E" w:rsidP="00913587">
      <w:pPr>
        <w:spacing w:after="0" w:line="240" w:lineRule="auto"/>
      </w:pPr>
      <w:r>
        <w:separator/>
      </w:r>
    </w:p>
  </w:footnote>
  <w:footnote w:type="continuationSeparator" w:id="0">
    <w:p w14:paraId="3C98BD31" w14:textId="77777777" w:rsidR="0022015E" w:rsidRDefault="0022015E" w:rsidP="0091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E4B5B"/>
    <w:multiLevelType w:val="hybridMultilevel"/>
    <w:tmpl w:val="3D403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15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F7"/>
    <w:rsid w:val="000B3BA2"/>
    <w:rsid w:val="00150457"/>
    <w:rsid w:val="00152D8F"/>
    <w:rsid w:val="001C4E7B"/>
    <w:rsid w:val="0022015E"/>
    <w:rsid w:val="00232E64"/>
    <w:rsid w:val="002331D7"/>
    <w:rsid w:val="00253416"/>
    <w:rsid w:val="003B0240"/>
    <w:rsid w:val="004346DC"/>
    <w:rsid w:val="00444A65"/>
    <w:rsid w:val="00484197"/>
    <w:rsid w:val="004D29D8"/>
    <w:rsid w:val="00511BBA"/>
    <w:rsid w:val="0052616A"/>
    <w:rsid w:val="005D40F7"/>
    <w:rsid w:val="005F6A5E"/>
    <w:rsid w:val="00617D86"/>
    <w:rsid w:val="006955D5"/>
    <w:rsid w:val="006C4A1B"/>
    <w:rsid w:val="006D69B3"/>
    <w:rsid w:val="00770864"/>
    <w:rsid w:val="0079026D"/>
    <w:rsid w:val="0085090D"/>
    <w:rsid w:val="0085338D"/>
    <w:rsid w:val="00910F93"/>
    <w:rsid w:val="00913587"/>
    <w:rsid w:val="00954402"/>
    <w:rsid w:val="0099559F"/>
    <w:rsid w:val="009F5DD6"/>
    <w:rsid w:val="00A91097"/>
    <w:rsid w:val="00AA38D6"/>
    <w:rsid w:val="00AB2FC2"/>
    <w:rsid w:val="00AD7898"/>
    <w:rsid w:val="00BB5F11"/>
    <w:rsid w:val="00C31CEF"/>
    <w:rsid w:val="00DA7BCD"/>
    <w:rsid w:val="00E7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3FEE"/>
  <w15:chartTrackingRefBased/>
  <w15:docId w15:val="{F89A7696-DD3B-43AA-84F2-D533448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1chiara-colore2">
    <w:name w:val="Grid Table 1 Light Accent 2"/>
    <w:basedOn w:val="Tabellanormale"/>
    <w:uiPriority w:val="46"/>
    <w:rsid w:val="005D40F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-colore2">
    <w:name w:val="Grid Table 6 Colorful Accent 2"/>
    <w:basedOn w:val="Tabellanormale"/>
    <w:uiPriority w:val="51"/>
    <w:rsid w:val="005D40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gliatabella">
    <w:name w:val="Table Grid"/>
    <w:basedOn w:val="Tabellanormale"/>
    <w:uiPriority w:val="39"/>
    <w:rsid w:val="0023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9135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foelenco">
    <w:name w:val="List Paragraph"/>
    <w:basedOn w:val="Normale"/>
    <w:uiPriority w:val="34"/>
    <w:qFormat/>
    <w:rsid w:val="009135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3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587"/>
  </w:style>
  <w:style w:type="paragraph" w:styleId="Pidipagina">
    <w:name w:val="footer"/>
    <w:basedOn w:val="Normale"/>
    <w:link w:val="PidipaginaCarattere"/>
    <w:uiPriority w:val="99"/>
    <w:unhideWhenUsed/>
    <w:rsid w:val="00913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simona.comi@unimib.it</dc:creator>
  <cp:keywords/>
  <dc:description/>
  <cp:lastModifiedBy>simona.comi@unimib.it</cp:lastModifiedBy>
  <cp:revision>2</cp:revision>
  <dcterms:created xsi:type="dcterms:W3CDTF">2023-09-29T14:58:00Z</dcterms:created>
  <dcterms:modified xsi:type="dcterms:W3CDTF">2023-09-29T14:58:00Z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d95d4e6e3ead65445c0dbf433e039268331993e6724e0de3b060aae3c92c0f11</vt:lpwstr>
  </property>
</Properties>
</file>