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46" w:rsidRPr="001E3865" w:rsidRDefault="00900A46" w:rsidP="00C44A43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212529"/>
          <w:sz w:val="32"/>
          <w:szCs w:val="32"/>
          <w:lang w:eastAsia="it-IT"/>
        </w:rPr>
      </w:pPr>
      <w:bookmarkStart w:id="0" w:name="_GoBack"/>
      <w:bookmarkEnd w:id="0"/>
    </w:p>
    <w:p w:rsidR="00900A46" w:rsidRPr="001E3865" w:rsidRDefault="00900A46" w:rsidP="00C44A43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212529"/>
          <w:sz w:val="32"/>
          <w:szCs w:val="32"/>
          <w:lang w:eastAsia="it-IT"/>
        </w:rPr>
      </w:pPr>
      <w:r w:rsidRPr="001E3865">
        <w:rPr>
          <w:rFonts w:ascii="Calibri" w:eastAsia="Times New Roman" w:hAnsi="Calibri" w:cs="Calibri"/>
          <w:b/>
          <w:bCs/>
          <w:color w:val="212529"/>
          <w:sz w:val="32"/>
          <w:szCs w:val="32"/>
          <w:lang w:eastAsia="it-IT"/>
        </w:rPr>
        <w:t xml:space="preserve">ACCOMPAGNAMENTO DELLE ATTIVITA’ DI TIROCINIO PREVISTE DALLA LAUREA MAGISTRALE IN PROGRAMMAZIONE E GESTIONE DELLE POLITICHE E DEI SERVIZI SOCIALI </w:t>
      </w:r>
      <w:r w:rsidR="003D5BEA">
        <w:rPr>
          <w:rFonts w:ascii="Calibri" w:eastAsia="Times New Roman" w:hAnsi="Calibri" w:cs="Calibri"/>
          <w:b/>
          <w:bCs/>
          <w:color w:val="212529"/>
          <w:sz w:val="32"/>
          <w:szCs w:val="32"/>
          <w:lang w:eastAsia="it-IT"/>
        </w:rPr>
        <w:t>– ATTIVITA’ DI CONSULENZA</w:t>
      </w:r>
    </w:p>
    <w:p w:rsidR="00EF45ED" w:rsidRDefault="003D5BEA" w:rsidP="00C44A43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Buongiorno Studentesse e Studenti PROGEST, mi presento: sono Cristina Gallione, sono  Assistente Sociale specialista, </w:t>
      </w:r>
      <w:r w:rsidR="00EF45ED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sono fra le prime laureate PROGEST; attualmente sono in pensione, negli ultimi 11 anni della mia carriera lavorativa ho fatto la direttrice di un’azienda speciale consortile che programma e gesti</w:t>
      </w:r>
      <w:r w:rsidR="009501CD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sce</w:t>
      </w:r>
      <w:r w:rsidR="00EF45ED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 politiche e servizi sociali nel sud est Milano.</w:t>
      </w:r>
    </w:p>
    <w:p w:rsidR="00C44A43" w:rsidRDefault="00C44A43" w:rsidP="00C44A43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Ho alle spalle 40 anni di lavoro nei servizi e per le politiche sociali</w:t>
      </w:r>
      <w:r w:rsidR="009501CD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; ciò comporta una discreta competenza non accademica, ma pragmatica e esperienziale</w:t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.</w:t>
      </w:r>
    </w:p>
    <w:p w:rsidR="00900A46" w:rsidRDefault="00EF45ED" w:rsidP="00C44A43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Da 3 anni fornisco consulenza e accompagnamento alle Studentesse e agli  Studenti </w:t>
      </w:r>
      <w:r w:rsidR="00D25238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sulla ricerca e sull’impostazione del tirocinio/stage previsto nel secondo anno.</w:t>
      </w:r>
    </w:p>
    <w:p w:rsidR="00D25238" w:rsidRPr="00D25238" w:rsidRDefault="00D25238" w:rsidP="00C44A43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eastAsia="Times New Roman" w:cstheme="minorHAnsi"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Come sapete tale stage/tirocinio (10 CFU) per un m</w:t>
      </w:r>
      <w:r w:rsidRPr="00D25238">
        <w:rPr>
          <w:rFonts w:eastAsia="Times New Roman" w:cstheme="minorHAnsi"/>
          <w:color w:val="000000"/>
          <w:sz w:val="32"/>
          <w:szCs w:val="32"/>
          <w:lang w:eastAsia="it-IT"/>
        </w:rPr>
        <w:t xml:space="preserve">inimo </w:t>
      </w:r>
      <w:r>
        <w:rPr>
          <w:rFonts w:eastAsia="Times New Roman" w:cstheme="minorHAnsi"/>
          <w:color w:val="000000"/>
          <w:sz w:val="32"/>
          <w:szCs w:val="32"/>
          <w:lang w:eastAsia="it-IT"/>
        </w:rPr>
        <w:t xml:space="preserve">di </w:t>
      </w:r>
      <w:r w:rsidRPr="00D25238">
        <w:rPr>
          <w:rFonts w:eastAsia="Times New Roman" w:cstheme="minorHAnsi"/>
          <w:color w:val="000000"/>
          <w:sz w:val="32"/>
          <w:szCs w:val="32"/>
          <w:lang w:eastAsia="it-IT"/>
        </w:rPr>
        <w:t>125  ore di svolgimento in situazione</w:t>
      </w:r>
      <w:r>
        <w:rPr>
          <w:rFonts w:eastAsia="Times New Roman" w:cstheme="minorHAnsi"/>
          <w:color w:val="000000"/>
          <w:sz w:val="32"/>
          <w:szCs w:val="32"/>
          <w:lang w:eastAsia="it-IT"/>
        </w:rPr>
        <w:t xml:space="preserve">; tale attività dovrà interrelazionarsi organicamente con le attività formative e laboratoriali frequentate, ed è auspicabile che l’esperienza </w:t>
      </w:r>
      <w:r w:rsidR="00C44A43">
        <w:rPr>
          <w:rFonts w:eastAsia="Times New Roman" w:cstheme="minorHAnsi"/>
          <w:color w:val="000000"/>
          <w:sz w:val="32"/>
          <w:szCs w:val="32"/>
          <w:lang w:eastAsia="it-IT"/>
        </w:rPr>
        <w:t xml:space="preserve">coincida con i due macroprofili </w:t>
      </w:r>
      <w:r w:rsidR="00C44A43" w:rsidRPr="001E3865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del corso di laurea (politiche</w:t>
      </w:r>
      <w:r w:rsidR="00C44A43" w:rsidRPr="001E3865">
        <w:rPr>
          <w:sz w:val="32"/>
          <w:szCs w:val="32"/>
        </w:rPr>
        <w:t xml:space="preserve"> sociali e management dei servizi sociali / relazioni interculturali, cooperazione e sviluppo locale)</w:t>
      </w:r>
      <w:r w:rsidR="00C44A43">
        <w:rPr>
          <w:sz w:val="32"/>
          <w:szCs w:val="32"/>
        </w:rPr>
        <w:t xml:space="preserve"> e che possa confluire nel lavoro di tesi.</w:t>
      </w:r>
    </w:p>
    <w:p w:rsidR="00BF3BCC" w:rsidRPr="001E3865" w:rsidRDefault="00C44A43" w:rsidP="00C44A43">
      <w:pPr>
        <w:shd w:val="clear" w:color="auto" w:fill="FFFFFF"/>
        <w:spacing w:after="100" w:afterAutospacing="1" w:line="240" w:lineRule="auto"/>
        <w:jc w:val="both"/>
        <w:outlineLvl w:val="2"/>
        <w:rPr>
          <w:sz w:val="32"/>
          <w:szCs w:val="32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Il mio lavoro consiste nel sostenere sia le aspirazioni di conoscenza e di analisi che nel fornire indicazioni di orientamento nel complesso e frammentato mondo del welfare attuale; </w:t>
      </w:r>
      <w:r w:rsidR="00BF3BCC" w:rsidRPr="001E3865">
        <w:rPr>
          <w:sz w:val="32"/>
          <w:szCs w:val="32"/>
        </w:rPr>
        <w:t>sia nel senso dei contesti di esperienza in situazione che in que</w:t>
      </w:r>
      <w:r>
        <w:rPr>
          <w:sz w:val="32"/>
          <w:szCs w:val="32"/>
        </w:rPr>
        <w:t>llo delle attività in cui sperimentarsi.</w:t>
      </w:r>
    </w:p>
    <w:p w:rsidR="00BF3BCC" w:rsidRPr="001E3865" w:rsidRDefault="00BF3BCC" w:rsidP="00C44A43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sz w:val="32"/>
          <w:szCs w:val="32"/>
        </w:rPr>
      </w:pPr>
      <w:r w:rsidRPr="001E3865">
        <w:rPr>
          <w:sz w:val="32"/>
          <w:szCs w:val="32"/>
        </w:rPr>
        <w:t>Servizi, Organizzazioni e Istituzioni pubbliche</w:t>
      </w:r>
      <w:r w:rsidR="004139C5" w:rsidRPr="001E3865">
        <w:rPr>
          <w:sz w:val="32"/>
          <w:szCs w:val="32"/>
        </w:rPr>
        <w:t xml:space="preserve"> (Sanitarie, Socio-sanitarie</w:t>
      </w:r>
      <w:r w:rsidRPr="001E3865">
        <w:rPr>
          <w:sz w:val="32"/>
          <w:szCs w:val="32"/>
        </w:rPr>
        <w:t>,</w:t>
      </w:r>
      <w:r w:rsidR="004139C5" w:rsidRPr="001E3865">
        <w:rPr>
          <w:sz w:val="32"/>
          <w:szCs w:val="32"/>
        </w:rPr>
        <w:t xml:space="preserve"> della Giustizia…) </w:t>
      </w:r>
      <w:r w:rsidRPr="001E3865">
        <w:rPr>
          <w:sz w:val="32"/>
          <w:szCs w:val="32"/>
        </w:rPr>
        <w:t xml:space="preserve"> Non governative, private no profit, Fondazioni, private profit</w:t>
      </w:r>
    </w:p>
    <w:p w:rsidR="00BF3BCC" w:rsidRPr="001E3865" w:rsidRDefault="00BF3BCC" w:rsidP="00C44A43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sz w:val="32"/>
          <w:szCs w:val="32"/>
        </w:rPr>
      </w:pPr>
      <w:r w:rsidRPr="001E3865">
        <w:rPr>
          <w:sz w:val="32"/>
          <w:szCs w:val="32"/>
        </w:rPr>
        <w:t xml:space="preserve">Attività di management e di gestione – attività di programmazione sociale – attività di progettazione sociale – coordinamento e </w:t>
      </w:r>
      <w:r w:rsidRPr="001E3865">
        <w:rPr>
          <w:sz w:val="32"/>
          <w:szCs w:val="32"/>
        </w:rPr>
        <w:lastRenderedPageBreak/>
        <w:t xml:space="preserve">responsabilità di gruppi di lavoro orientati a goal specifici – coordinamento e responsabilità di gruppi di lavoro orientati all’erogazione di </w:t>
      </w:r>
      <w:r w:rsidR="00DE5C88" w:rsidRPr="001E3865">
        <w:rPr>
          <w:sz w:val="32"/>
          <w:szCs w:val="32"/>
        </w:rPr>
        <w:t>servizi/prestazioni complesse</w:t>
      </w:r>
      <w:r w:rsidR="00AC015F" w:rsidRPr="001E3865">
        <w:rPr>
          <w:sz w:val="32"/>
          <w:szCs w:val="32"/>
        </w:rPr>
        <w:t>.</w:t>
      </w:r>
    </w:p>
    <w:p w:rsidR="00DE5C88" w:rsidRPr="001E3865" w:rsidRDefault="00DE5C88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sz w:val="32"/>
          <w:szCs w:val="32"/>
        </w:rPr>
      </w:pPr>
      <w:r w:rsidRPr="001E3865">
        <w:rPr>
          <w:sz w:val="32"/>
          <w:szCs w:val="32"/>
        </w:rPr>
        <w:t xml:space="preserve">Inoltre, per le peculiari caratteristiche degli studenti PROGEST, agli studenti/studentesse lavoratori nel variegato mondo dei servizi e delle politiche sociali </w:t>
      </w:r>
      <w:r w:rsidR="001E3865">
        <w:rPr>
          <w:sz w:val="32"/>
          <w:szCs w:val="32"/>
        </w:rPr>
        <w:t>(da almeno 2 anni) è</w:t>
      </w:r>
      <w:r w:rsidRPr="001E3865">
        <w:rPr>
          <w:sz w:val="32"/>
          <w:szCs w:val="32"/>
        </w:rPr>
        <w:t xml:space="preserve"> consentito effettuare il tirocinio in situazione lavorativa</w:t>
      </w:r>
      <w:r w:rsidRPr="001E3865">
        <w:rPr>
          <w:sz w:val="32"/>
          <w:szCs w:val="32"/>
          <w:u w:val="single"/>
        </w:rPr>
        <w:t>, individuando un obiettivo specifico</w:t>
      </w:r>
      <w:r w:rsidRPr="001E3865">
        <w:rPr>
          <w:sz w:val="32"/>
          <w:szCs w:val="32"/>
        </w:rPr>
        <w:t xml:space="preserve"> e non ordinario rispetto alle mansioni ricoperte.</w:t>
      </w:r>
    </w:p>
    <w:p w:rsidR="00C44A43" w:rsidRDefault="00DE5C88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sz w:val="32"/>
          <w:szCs w:val="32"/>
        </w:rPr>
      </w:pPr>
      <w:r w:rsidRPr="001E3865">
        <w:rPr>
          <w:sz w:val="32"/>
          <w:szCs w:val="32"/>
        </w:rPr>
        <w:t>Trattandosi di percorso di tirocinio di Laurea Magistrale non si tratta di un processo ad alto tutoring, ma anzi formano parte integrante dell’esperienza la capacità proattiva e imprenditiva, a partire dalla ricerca ed individuazione del contesto esperienziale</w:t>
      </w:r>
      <w:r w:rsidR="004139C5" w:rsidRPr="001E3865">
        <w:rPr>
          <w:sz w:val="32"/>
          <w:szCs w:val="32"/>
        </w:rPr>
        <w:t>.</w:t>
      </w:r>
      <w:r w:rsidRPr="001E3865">
        <w:rPr>
          <w:sz w:val="32"/>
          <w:szCs w:val="32"/>
        </w:rPr>
        <w:t xml:space="preserve"> </w:t>
      </w:r>
    </w:p>
    <w:p w:rsidR="00BF3BCC" w:rsidRDefault="00C44A43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sz w:val="32"/>
          <w:szCs w:val="32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L</w:t>
      </w:r>
      <w:r w:rsidR="00DE5C88" w:rsidRPr="001E3865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’obiettivo </w:t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è dunque </w:t>
      </w:r>
      <w:r w:rsidR="00DE5C88" w:rsidRPr="001E3865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orientare in tal senso gli studenti</w:t>
      </w:r>
      <w:r w:rsidR="004139C5" w:rsidRPr="001E3865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, fornendo strumenti di analisi dei possibili contesti esperienziali, favorendo nella ricerca del percorso più aderente al processo formativo individuale in atto </w:t>
      </w:r>
      <w:r w:rsidR="004139C5" w:rsidRPr="001E3865">
        <w:rPr>
          <w:sz w:val="32"/>
          <w:szCs w:val="32"/>
        </w:rPr>
        <w:t>l’attivazione di spirito critico, l’autonomia, il problem solving in situazioni complesse, l’analisi organizzativa, l’originalità e la crescita dell’autonomia di giudizio.</w:t>
      </w:r>
    </w:p>
    <w:p w:rsidR="00C44A43" w:rsidRDefault="00C44A43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Dall’esprienza pregressa è emerso come altamente funzionale il colloquio di consulenza da remoto, tendenzialmente individuale; ma sarebbe possibile anche organizzare piccoli gruppi on line, se si rilevano interessi comuni e la voglia di confrontarsi.</w:t>
      </w:r>
    </w:p>
    <w:p w:rsidR="00C44A43" w:rsidRDefault="00C44A43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 xml:space="preserve">Per accedere basta inviare una mail a </w:t>
      </w:r>
      <w:r w:rsidR="009001E8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tirocinioprogest</w:t>
      </w:r>
      <w:r w:rsidR="009501CD" w:rsidRPr="009501CD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@</w:t>
      </w:r>
      <w:r w:rsidR="009001E8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unimib.it</w:t>
      </w:r>
      <w:r w:rsidR="009501CD"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; anche se per passaparola molti conoscono anche la mia mail personale.</w:t>
      </w:r>
    </w:p>
    <w:p w:rsidR="009501CD" w:rsidRDefault="009501CD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>Vi aspetto.</w:t>
      </w:r>
    </w:p>
    <w:p w:rsidR="009501CD" w:rsidRPr="00C44A43" w:rsidRDefault="009501CD" w:rsidP="00C44A43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sz w:val="32"/>
          <w:szCs w:val="32"/>
        </w:rPr>
      </w:pP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</w:r>
      <w:r>
        <w:rPr>
          <w:rFonts w:ascii="Calibri" w:eastAsia="Times New Roman" w:hAnsi="Calibri" w:cs="Calibri"/>
          <w:bCs/>
          <w:color w:val="212529"/>
          <w:sz w:val="32"/>
          <w:szCs w:val="32"/>
          <w:lang w:eastAsia="it-IT"/>
        </w:rPr>
        <w:tab/>
        <w:t>Cristina Gallione</w:t>
      </w:r>
    </w:p>
    <w:p w:rsidR="00A77288" w:rsidRPr="001E3865" w:rsidRDefault="00A77288" w:rsidP="00C44A43">
      <w:pPr>
        <w:pStyle w:val="Paragrafoelenco"/>
        <w:jc w:val="both"/>
        <w:rPr>
          <w:rFonts w:ascii="Calibri" w:hAnsi="Calibri" w:cs="Calibri"/>
          <w:color w:val="FF0000"/>
          <w:sz w:val="32"/>
          <w:szCs w:val="32"/>
        </w:rPr>
      </w:pPr>
    </w:p>
    <w:sectPr w:rsidR="00A77288" w:rsidRPr="001E3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FB5"/>
    <w:multiLevelType w:val="hybridMultilevel"/>
    <w:tmpl w:val="2D6AA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C62"/>
    <w:multiLevelType w:val="hybridMultilevel"/>
    <w:tmpl w:val="8C181C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799"/>
    <w:multiLevelType w:val="multilevel"/>
    <w:tmpl w:val="61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186021"/>
    <w:multiLevelType w:val="hybridMultilevel"/>
    <w:tmpl w:val="321CC696"/>
    <w:lvl w:ilvl="0" w:tplc="A3BE3B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6"/>
    <w:rsid w:val="001E3865"/>
    <w:rsid w:val="003D5BEA"/>
    <w:rsid w:val="004139C5"/>
    <w:rsid w:val="00563A21"/>
    <w:rsid w:val="005B3D88"/>
    <w:rsid w:val="005C7FAF"/>
    <w:rsid w:val="00683B25"/>
    <w:rsid w:val="009001E8"/>
    <w:rsid w:val="00900A46"/>
    <w:rsid w:val="009076AB"/>
    <w:rsid w:val="009501CD"/>
    <w:rsid w:val="00A77288"/>
    <w:rsid w:val="00AC015F"/>
    <w:rsid w:val="00B13658"/>
    <w:rsid w:val="00BF3BCC"/>
    <w:rsid w:val="00C44A43"/>
    <w:rsid w:val="00CA0683"/>
    <w:rsid w:val="00D25238"/>
    <w:rsid w:val="00DE5C88"/>
    <w:rsid w:val="00E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44E5-281D-4C83-9696-1D88C11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0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00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3B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C7FA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86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47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0D31-6FA9-4267-80E5-F1DFDA1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Ospite</cp:lastModifiedBy>
  <cp:revision>2</cp:revision>
  <dcterms:created xsi:type="dcterms:W3CDTF">2023-12-21T16:23:00Z</dcterms:created>
  <dcterms:modified xsi:type="dcterms:W3CDTF">2023-12-21T16:23:00Z</dcterms:modified>
</cp:coreProperties>
</file>