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9E68" w14:textId="6F43F95E" w:rsidR="0003006E" w:rsidRDefault="0003006E">
      <w:pPr>
        <w:spacing w:after="0" w:line="240" w:lineRule="auto"/>
        <w:ind w:firstLine="142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E353B1" wp14:editId="1B7EDF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13560" cy="1638300"/>
            <wp:effectExtent l="0" t="0" r="0" b="0"/>
            <wp:wrapSquare wrapText="bothSides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E5212" w14:textId="77777777" w:rsidR="0003006E" w:rsidRDefault="0003006E">
      <w:pPr>
        <w:spacing w:after="0" w:line="240" w:lineRule="auto"/>
        <w:ind w:firstLine="142"/>
        <w:rPr>
          <w:sz w:val="32"/>
          <w:szCs w:val="32"/>
        </w:rPr>
      </w:pPr>
    </w:p>
    <w:p w14:paraId="34B2E3AB" w14:textId="77777777" w:rsidR="0003006E" w:rsidRDefault="006A3A02">
      <w:pPr>
        <w:spacing w:after="0" w:line="24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ab/>
      </w:r>
    </w:p>
    <w:p w14:paraId="7CB70457" w14:textId="77777777" w:rsidR="0003006E" w:rsidRDefault="0003006E">
      <w:pPr>
        <w:spacing w:after="0" w:line="240" w:lineRule="auto"/>
        <w:ind w:firstLine="142"/>
        <w:rPr>
          <w:sz w:val="32"/>
          <w:szCs w:val="32"/>
        </w:rPr>
      </w:pPr>
    </w:p>
    <w:p w14:paraId="531F4817" w14:textId="77777777" w:rsidR="0003006E" w:rsidRDefault="0003006E">
      <w:pPr>
        <w:spacing w:after="0" w:line="240" w:lineRule="auto"/>
        <w:ind w:firstLine="142"/>
        <w:rPr>
          <w:sz w:val="32"/>
          <w:szCs w:val="32"/>
        </w:rPr>
      </w:pPr>
    </w:p>
    <w:p w14:paraId="7146F994" w14:textId="77777777" w:rsidR="0003006E" w:rsidRDefault="0003006E">
      <w:pPr>
        <w:spacing w:after="0" w:line="240" w:lineRule="auto"/>
        <w:ind w:firstLine="142"/>
        <w:rPr>
          <w:sz w:val="32"/>
          <w:szCs w:val="32"/>
        </w:rPr>
      </w:pPr>
    </w:p>
    <w:p w14:paraId="4E4409AF" w14:textId="77777777" w:rsidR="0003006E" w:rsidRDefault="0003006E">
      <w:pPr>
        <w:spacing w:after="0" w:line="240" w:lineRule="auto"/>
        <w:ind w:firstLine="142"/>
        <w:rPr>
          <w:sz w:val="32"/>
          <w:szCs w:val="32"/>
        </w:rPr>
      </w:pPr>
    </w:p>
    <w:p w14:paraId="4D652662" w14:textId="6AD3C692" w:rsidR="002037A2" w:rsidRPr="00446A32" w:rsidRDefault="009467EF" w:rsidP="0003006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A3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3006E" w:rsidRPr="00446A32">
        <w:rPr>
          <w:rFonts w:ascii="Times New Roman" w:hAnsi="Times New Roman" w:cs="Times New Roman"/>
          <w:b/>
          <w:bCs/>
          <w:sz w:val="28"/>
          <w:szCs w:val="28"/>
        </w:rPr>
        <w:t>TIROCINIO FORMATIVO E DI ORIENTAMENTO</w:t>
      </w:r>
    </w:p>
    <w:p w14:paraId="3C7E4D67" w14:textId="77777777" w:rsidR="002037A2" w:rsidRPr="0003006E" w:rsidRDefault="006A3A02" w:rsidP="0003006E">
      <w:pPr>
        <w:spacing w:after="0" w:line="240" w:lineRule="auto"/>
        <w:ind w:left="2832"/>
        <w:rPr>
          <w:rFonts w:ascii="Times New Roman" w:hAnsi="Times New Roman" w:cs="Times New Roman"/>
          <w:iCs/>
          <w:sz w:val="24"/>
          <w:szCs w:val="24"/>
        </w:rPr>
      </w:pPr>
      <w:r w:rsidRPr="0003006E">
        <w:rPr>
          <w:rFonts w:ascii="Times New Roman" w:hAnsi="Times New Roman" w:cs="Times New Roman"/>
          <w:iCs/>
          <w:sz w:val="24"/>
          <w:szCs w:val="24"/>
        </w:rPr>
        <w:t>Corso di Laurea Magistrale in Scienze Pedagogiche</w:t>
      </w:r>
    </w:p>
    <w:p w14:paraId="546C2D0D" w14:textId="43E1D6F0" w:rsidR="002037A2" w:rsidRPr="0003006E" w:rsidRDefault="009467EF" w:rsidP="009467E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="006A3A02" w:rsidRPr="0003006E">
        <w:rPr>
          <w:rFonts w:ascii="Times New Roman" w:hAnsi="Times New Roman" w:cs="Times New Roman"/>
          <w:iCs/>
          <w:sz w:val="24"/>
          <w:szCs w:val="24"/>
        </w:rPr>
        <w:t>Dipartimento di Scienze Umane per la Formazione “Riccardo Massa”</w:t>
      </w:r>
    </w:p>
    <w:p w14:paraId="5509343F" w14:textId="2D0BA891" w:rsidR="002037A2" w:rsidRPr="0003006E" w:rsidRDefault="0003006E" w:rsidP="0003006E">
      <w:pPr>
        <w:widowControl w:val="0"/>
        <w:spacing w:after="0" w:line="240" w:lineRule="auto"/>
        <w:ind w:left="2694"/>
        <w:rPr>
          <w:rFonts w:ascii="Times New Roman" w:hAnsi="Times New Roman" w:cs="Times New Roman"/>
          <w:iCs/>
          <w:sz w:val="24"/>
          <w:szCs w:val="24"/>
        </w:rPr>
      </w:pPr>
      <w:r w:rsidRPr="0003006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3006E">
        <w:rPr>
          <w:rFonts w:ascii="Times New Roman" w:hAnsi="Times New Roman" w:cs="Times New Roman"/>
          <w:iCs/>
          <w:sz w:val="24"/>
          <w:szCs w:val="24"/>
        </w:rPr>
        <w:tab/>
      </w:r>
      <w:r w:rsidR="006A3A02" w:rsidRPr="0003006E">
        <w:rPr>
          <w:rFonts w:ascii="Times New Roman" w:hAnsi="Times New Roman" w:cs="Times New Roman"/>
          <w:iCs/>
          <w:sz w:val="24"/>
          <w:szCs w:val="24"/>
        </w:rPr>
        <w:t>Università degli Studi di Milano – Bicocca</w:t>
      </w:r>
    </w:p>
    <w:p w14:paraId="5D263DA3" w14:textId="77777777" w:rsidR="002037A2" w:rsidRPr="0003006E" w:rsidRDefault="002037A2" w:rsidP="0003006E">
      <w:pPr>
        <w:widowControl w:val="0"/>
        <w:spacing w:after="0" w:line="240" w:lineRule="auto"/>
        <w:ind w:left="2694"/>
        <w:jc w:val="center"/>
        <w:rPr>
          <w:rFonts w:ascii="Times New Roman" w:hAnsi="Times New Roman" w:cs="Times New Roman"/>
          <w:i/>
        </w:rPr>
      </w:pPr>
    </w:p>
    <w:p w14:paraId="1F176D82" w14:textId="77777777" w:rsidR="002037A2" w:rsidRDefault="002037A2">
      <w:pPr>
        <w:widowControl w:val="0"/>
        <w:spacing w:after="0" w:line="240" w:lineRule="auto"/>
        <w:ind w:left="2694"/>
        <w:jc w:val="both"/>
        <w:rPr>
          <w:i/>
        </w:rPr>
      </w:pPr>
    </w:p>
    <w:p w14:paraId="43A00589" w14:textId="77777777" w:rsidR="00446A32" w:rsidRDefault="00446A32">
      <w:pPr>
        <w:widowControl w:val="0"/>
        <w:spacing w:after="0" w:line="240" w:lineRule="auto"/>
        <w:ind w:left="2694"/>
        <w:jc w:val="both"/>
        <w:rPr>
          <w:i/>
        </w:rPr>
      </w:pPr>
    </w:p>
    <w:p w14:paraId="60D0DF27" w14:textId="77777777" w:rsidR="002037A2" w:rsidRDefault="002037A2">
      <w:pPr>
        <w:widowControl w:val="0"/>
        <w:spacing w:after="0" w:line="240" w:lineRule="auto"/>
        <w:ind w:left="2694"/>
        <w:jc w:val="both"/>
        <w:rPr>
          <w:i/>
        </w:rPr>
      </w:pPr>
    </w:p>
    <w:p w14:paraId="480DCD95" w14:textId="6895287D" w:rsidR="002037A2" w:rsidRPr="0003006E" w:rsidRDefault="00030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6E">
        <w:rPr>
          <w:rFonts w:ascii="Times New Roman" w:hAnsi="Times New Roman" w:cs="Times New Roman"/>
          <w:b/>
          <w:sz w:val="28"/>
          <w:szCs w:val="28"/>
        </w:rPr>
        <w:t xml:space="preserve">WORKSHOP </w:t>
      </w:r>
    </w:p>
    <w:p w14:paraId="5494B4FB" w14:textId="77777777" w:rsidR="002037A2" w:rsidRDefault="002037A2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67EFD194" w14:textId="702FADEA" w:rsidR="002037A2" w:rsidRPr="00446A32" w:rsidRDefault="006A3A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A32">
        <w:rPr>
          <w:rFonts w:ascii="Times New Roman" w:hAnsi="Times New Roman" w:cs="Times New Roman"/>
          <w:b/>
          <w:i/>
          <w:sz w:val="28"/>
          <w:szCs w:val="28"/>
        </w:rPr>
        <w:t>“Il pedagogista come p</w:t>
      </w:r>
      <w:r w:rsidR="000D5494" w:rsidRPr="00446A32">
        <w:rPr>
          <w:rFonts w:ascii="Times New Roman" w:hAnsi="Times New Roman" w:cs="Times New Roman"/>
          <w:b/>
          <w:i/>
          <w:sz w:val="28"/>
          <w:szCs w:val="28"/>
        </w:rPr>
        <w:t xml:space="preserve">rofessionista </w:t>
      </w:r>
      <w:r w:rsidRPr="00446A32">
        <w:rPr>
          <w:rFonts w:ascii="Times New Roman" w:hAnsi="Times New Roman" w:cs="Times New Roman"/>
          <w:b/>
          <w:i/>
          <w:sz w:val="28"/>
          <w:szCs w:val="28"/>
        </w:rPr>
        <w:t>riflessivo: la scrittura degli educatori in diversi servizi”</w:t>
      </w:r>
    </w:p>
    <w:p w14:paraId="76481725" w14:textId="77777777" w:rsidR="002037A2" w:rsidRDefault="002037A2">
      <w:pPr>
        <w:widowControl w:val="0"/>
        <w:spacing w:after="0" w:line="240" w:lineRule="auto"/>
        <w:jc w:val="center"/>
        <w:rPr>
          <w:b/>
          <w:i/>
          <w:sz w:val="28"/>
          <w:szCs w:val="28"/>
        </w:rPr>
      </w:pPr>
    </w:p>
    <w:p w14:paraId="46ACD45C" w14:textId="0AC77597" w:rsidR="002037A2" w:rsidRPr="0003006E" w:rsidRDefault="006A3A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06E">
        <w:rPr>
          <w:rFonts w:ascii="Times New Roman" w:hAnsi="Times New Roman" w:cs="Times New Roman"/>
          <w:sz w:val="28"/>
          <w:szCs w:val="28"/>
        </w:rPr>
        <w:t xml:space="preserve">22/11/2023, Sede legale della Coop. Sociale Atipica </w:t>
      </w:r>
      <w:proofErr w:type="spellStart"/>
      <w:r w:rsidRPr="0003006E">
        <w:rPr>
          <w:rFonts w:ascii="Times New Roman" w:hAnsi="Times New Roman" w:cs="Times New Roman"/>
          <w:sz w:val="28"/>
          <w:szCs w:val="28"/>
        </w:rPr>
        <w:t>Onlus</w:t>
      </w:r>
      <w:proofErr w:type="spellEnd"/>
      <w:r w:rsidRPr="0003006E">
        <w:rPr>
          <w:rFonts w:ascii="Times New Roman" w:hAnsi="Times New Roman" w:cs="Times New Roman"/>
          <w:sz w:val="28"/>
          <w:szCs w:val="28"/>
        </w:rPr>
        <w:t xml:space="preserve"> - Besana Brianza (MB)</w:t>
      </w:r>
    </w:p>
    <w:p w14:paraId="6F5BB93E" w14:textId="77777777" w:rsidR="002037A2" w:rsidRDefault="002037A2">
      <w:pPr>
        <w:widowControl w:val="0"/>
        <w:spacing w:after="0" w:line="240" w:lineRule="auto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0120C6" w14:textId="77777777" w:rsidR="00446A32" w:rsidRDefault="00446A32">
      <w:pPr>
        <w:widowControl w:val="0"/>
        <w:spacing w:after="0" w:line="240" w:lineRule="auto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533B1F" w14:textId="77777777" w:rsidR="00446A32" w:rsidRPr="0003006E" w:rsidRDefault="00446A32">
      <w:pPr>
        <w:widowControl w:val="0"/>
        <w:spacing w:after="0" w:line="240" w:lineRule="auto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DE67FA" w14:textId="77777777" w:rsidR="002037A2" w:rsidRDefault="002037A2">
      <w:pPr>
        <w:widowControl w:val="0"/>
        <w:spacing w:after="0" w:line="240" w:lineRule="auto"/>
        <w:rPr>
          <w:i/>
        </w:rPr>
      </w:pPr>
    </w:p>
    <w:p w14:paraId="6B479D63" w14:textId="77777777" w:rsidR="002037A2" w:rsidRDefault="002037A2">
      <w:pPr>
        <w:widowControl w:val="0"/>
        <w:spacing w:after="0" w:line="240" w:lineRule="auto"/>
        <w:rPr>
          <w:i/>
        </w:rPr>
      </w:pPr>
    </w:p>
    <w:p w14:paraId="5D121BB9" w14:textId="611D90C6" w:rsidR="002037A2" w:rsidRPr="00446A32" w:rsidRDefault="006A3A02">
      <w:pPr>
        <w:widowControl w:val="0"/>
        <w:spacing w:after="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6A32">
        <w:rPr>
          <w:rFonts w:ascii="Times New Roman" w:hAnsi="Times New Roman" w:cs="Times New Roman"/>
          <w:b/>
          <w:bCs/>
          <w:iCs/>
          <w:sz w:val="24"/>
          <w:szCs w:val="24"/>
        </w:rPr>
        <w:t>Conduttric</w:t>
      </w:r>
      <w:r w:rsidR="0003006E" w:rsidRPr="00446A32">
        <w:rPr>
          <w:rFonts w:ascii="Times New Roman" w:hAnsi="Times New Roman" w:cs="Times New Roman"/>
          <w:b/>
          <w:bCs/>
          <w:iCs/>
          <w:sz w:val="24"/>
          <w:szCs w:val="24"/>
        </w:rPr>
        <w:t>i:</w:t>
      </w:r>
    </w:p>
    <w:p w14:paraId="15639A65" w14:textId="77777777" w:rsidR="00446A32" w:rsidRPr="00446A32" w:rsidRDefault="00446A32" w:rsidP="00446A32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6A32">
        <w:rPr>
          <w:rFonts w:ascii="Times New Roman" w:hAnsi="Times New Roman" w:cs="Times New Roman"/>
          <w:sz w:val="24"/>
          <w:szCs w:val="24"/>
        </w:rPr>
        <w:t xml:space="preserve">Dott.ssa Chiara </w:t>
      </w:r>
      <w:proofErr w:type="spellStart"/>
      <w:r w:rsidRPr="00446A32">
        <w:rPr>
          <w:rFonts w:ascii="Times New Roman" w:hAnsi="Times New Roman" w:cs="Times New Roman"/>
          <w:sz w:val="24"/>
          <w:szCs w:val="24"/>
        </w:rPr>
        <w:t>Forgillo</w:t>
      </w:r>
      <w:proofErr w:type="spellEnd"/>
    </w:p>
    <w:p w14:paraId="261EA5AE" w14:textId="77777777" w:rsidR="0003006E" w:rsidRPr="00446A32" w:rsidRDefault="006A3A02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6A32">
        <w:rPr>
          <w:rFonts w:ascii="Times New Roman" w:hAnsi="Times New Roman" w:cs="Times New Roman"/>
          <w:sz w:val="24"/>
          <w:szCs w:val="24"/>
        </w:rPr>
        <w:t>Dott.ss</w:t>
      </w:r>
      <w:r w:rsidR="0003006E" w:rsidRPr="00446A32">
        <w:rPr>
          <w:rFonts w:ascii="Times New Roman" w:hAnsi="Times New Roman" w:cs="Times New Roman"/>
          <w:sz w:val="24"/>
          <w:szCs w:val="24"/>
        </w:rPr>
        <w:t xml:space="preserve">a </w:t>
      </w:r>
      <w:r w:rsidRPr="00446A32">
        <w:rPr>
          <w:rFonts w:ascii="Times New Roman" w:hAnsi="Times New Roman" w:cs="Times New Roman"/>
          <w:sz w:val="24"/>
          <w:szCs w:val="24"/>
        </w:rPr>
        <w:t xml:space="preserve">Alice Tentori </w:t>
      </w:r>
    </w:p>
    <w:p w14:paraId="17A9D6AB" w14:textId="77777777" w:rsidR="002037A2" w:rsidRPr="0003006E" w:rsidRDefault="002037A2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99D1C16" w14:textId="77777777" w:rsidR="002037A2" w:rsidRPr="0003006E" w:rsidRDefault="002037A2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B4B5A26" w14:textId="77777777" w:rsidR="002037A2" w:rsidRPr="0003006E" w:rsidRDefault="002037A2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4CE3BB3" w14:textId="6AC881FF" w:rsidR="002037A2" w:rsidRPr="00446A32" w:rsidRDefault="0003006E" w:rsidP="0003006E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6A32">
        <w:rPr>
          <w:rFonts w:ascii="Times New Roman" w:hAnsi="Times New Roman" w:cs="Times New Roman"/>
          <w:b/>
          <w:bCs/>
          <w:iCs/>
          <w:sz w:val="24"/>
          <w:szCs w:val="24"/>
        </w:rPr>
        <w:t>Scrittura condivisa a cura di:</w:t>
      </w:r>
    </w:p>
    <w:p w14:paraId="16D4F7FB" w14:textId="77777777" w:rsidR="002037A2" w:rsidRPr="00446A32" w:rsidRDefault="006A3A02" w:rsidP="0003006E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A32">
        <w:rPr>
          <w:rFonts w:ascii="Times New Roman" w:hAnsi="Times New Roman" w:cs="Times New Roman"/>
          <w:sz w:val="24"/>
          <w:szCs w:val="24"/>
        </w:rPr>
        <w:t>Alice Bracciali</w:t>
      </w:r>
    </w:p>
    <w:p w14:paraId="033A0345" w14:textId="77777777" w:rsidR="002037A2" w:rsidRPr="00446A32" w:rsidRDefault="006A3A02" w:rsidP="0003006E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A32">
        <w:rPr>
          <w:rFonts w:ascii="Times New Roman" w:hAnsi="Times New Roman" w:cs="Times New Roman"/>
          <w:sz w:val="24"/>
          <w:szCs w:val="24"/>
        </w:rPr>
        <w:t>Lara Buratto</w:t>
      </w:r>
    </w:p>
    <w:p w14:paraId="639C328D" w14:textId="77777777" w:rsidR="002037A2" w:rsidRPr="00446A32" w:rsidRDefault="006A3A02" w:rsidP="0003006E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A32">
        <w:rPr>
          <w:rFonts w:ascii="Times New Roman" w:hAnsi="Times New Roman" w:cs="Times New Roman"/>
          <w:sz w:val="24"/>
          <w:szCs w:val="24"/>
        </w:rPr>
        <w:t xml:space="preserve">Samantha </w:t>
      </w:r>
      <w:proofErr w:type="spellStart"/>
      <w:r w:rsidRPr="00446A32">
        <w:rPr>
          <w:rFonts w:ascii="Times New Roman" w:hAnsi="Times New Roman" w:cs="Times New Roman"/>
          <w:sz w:val="24"/>
          <w:szCs w:val="24"/>
        </w:rPr>
        <w:t>Contiero</w:t>
      </w:r>
      <w:proofErr w:type="spellEnd"/>
    </w:p>
    <w:p w14:paraId="7A4C25CF" w14:textId="77777777" w:rsidR="002037A2" w:rsidRPr="00446A32" w:rsidRDefault="006A3A02" w:rsidP="0003006E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A32">
        <w:rPr>
          <w:rFonts w:ascii="Times New Roman" w:hAnsi="Times New Roman" w:cs="Times New Roman"/>
          <w:sz w:val="24"/>
          <w:szCs w:val="24"/>
        </w:rPr>
        <w:t>Paola Luisa Denti</w:t>
      </w:r>
    </w:p>
    <w:p w14:paraId="56537E31" w14:textId="77777777" w:rsidR="002037A2" w:rsidRPr="00446A32" w:rsidRDefault="006A3A02" w:rsidP="0003006E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A32">
        <w:rPr>
          <w:rFonts w:ascii="Times New Roman" w:hAnsi="Times New Roman" w:cs="Times New Roman"/>
          <w:sz w:val="24"/>
          <w:szCs w:val="24"/>
        </w:rPr>
        <w:t>Camilla Marinsalta</w:t>
      </w:r>
    </w:p>
    <w:p w14:paraId="5C1D11B7" w14:textId="77777777" w:rsidR="002037A2" w:rsidRPr="00446A32" w:rsidRDefault="006A3A02" w:rsidP="0003006E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A32">
        <w:rPr>
          <w:rFonts w:ascii="Times New Roman" w:hAnsi="Times New Roman" w:cs="Times New Roman"/>
          <w:sz w:val="24"/>
          <w:szCs w:val="24"/>
        </w:rPr>
        <w:t>Martina Ortega</w:t>
      </w:r>
    </w:p>
    <w:p w14:paraId="623D733E" w14:textId="77777777" w:rsidR="002037A2" w:rsidRPr="00446A32" w:rsidRDefault="006A3A02" w:rsidP="0003006E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A32">
        <w:rPr>
          <w:rFonts w:ascii="Times New Roman" w:hAnsi="Times New Roman" w:cs="Times New Roman"/>
          <w:sz w:val="24"/>
          <w:szCs w:val="24"/>
        </w:rPr>
        <w:t xml:space="preserve">Cristina </w:t>
      </w:r>
      <w:proofErr w:type="spellStart"/>
      <w:r w:rsidRPr="00446A32">
        <w:rPr>
          <w:rFonts w:ascii="Times New Roman" w:hAnsi="Times New Roman" w:cs="Times New Roman"/>
          <w:sz w:val="24"/>
          <w:szCs w:val="24"/>
        </w:rPr>
        <w:t>Pavarin</w:t>
      </w:r>
      <w:proofErr w:type="spellEnd"/>
    </w:p>
    <w:p w14:paraId="6A7B0297" w14:textId="77777777" w:rsidR="002037A2" w:rsidRPr="00446A32" w:rsidRDefault="006A3A02" w:rsidP="0003006E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A32">
        <w:rPr>
          <w:rFonts w:ascii="Times New Roman" w:hAnsi="Times New Roman" w:cs="Times New Roman"/>
          <w:sz w:val="24"/>
          <w:szCs w:val="24"/>
        </w:rPr>
        <w:t>Karen Wilson</w:t>
      </w:r>
    </w:p>
    <w:p w14:paraId="0C1F385F" w14:textId="77777777" w:rsidR="002037A2" w:rsidRPr="0003006E" w:rsidRDefault="002037A2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2C5671C" w14:textId="7589533B" w:rsidR="002037A2" w:rsidRDefault="002037A2">
      <w:pPr>
        <w:widowControl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4AF68C" w14:textId="77777777" w:rsidR="00446A32" w:rsidRDefault="00446A32">
      <w:pPr>
        <w:widowControl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112EE" w14:textId="77777777" w:rsidR="00446A32" w:rsidRDefault="00446A32">
      <w:pPr>
        <w:widowControl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17E81" w14:textId="6EAD6545" w:rsidR="002037A2" w:rsidRDefault="006A3A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data 22 novembre 2023 abbiamo partecipato al workshop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“Il pedagogista come professionista riflessivo: la scrittura degli educatori in diversi servizi”,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presso la sede della </w:t>
      </w:r>
      <w:r w:rsidR="00A16F4A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ooperativa </w:t>
      </w:r>
      <w:r w:rsidR="00A16F4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ociale Atipica nel comune di Besana Brianza.</w:t>
      </w:r>
    </w:p>
    <w:p w14:paraId="6C2EF2D4" w14:textId="31A32A3D" w:rsidR="002037A2" w:rsidRDefault="006A3A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L’incontro si è articolato in vari momenti: la presentazione della cooperativa ospitante, delle conduttrici e dei partecipanti; una riflessione sulla scrittura professionale in ambito educativo e sul ruolo del professionista di secondo livello; l’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analisi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la revisione di due relazioni inerenti a reali interventi educativi, all’interno dei servizi Spazio Neutro e ADM</w:t>
      </w:r>
      <w:r w:rsidR="00446A32">
        <w:rPr>
          <w:rFonts w:ascii="Times New Roman" w:eastAsia="Times New Roman" w:hAnsi="Times New Roman" w:cs="Times New Roman"/>
          <w:sz w:val="24"/>
          <w:szCs w:val="24"/>
        </w:rPr>
        <w:t xml:space="preserve"> (Assistenza Domiciliare ai Minori)</w:t>
      </w:r>
      <w:r w:rsidR="00A16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infine, un momento di confronto e restituzione finale. </w:t>
      </w:r>
    </w:p>
    <w:p w14:paraId="6026924B" w14:textId="4CB4F451" w:rsidR="002037A2" w:rsidRDefault="006A3A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filo conduttore di questo workshop è stato l’esplorazione del ruolo del pedagogista come professionista in grado di accompagnare e sostenere gli educatori verso una scrittura consapevole e responsabile</w:t>
      </w:r>
      <w:r w:rsidR="002F42A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2AD">
        <w:rPr>
          <w:rFonts w:ascii="Times New Roman" w:eastAsia="Times New Roman" w:hAnsi="Times New Roman" w:cs="Times New Roman"/>
          <w:sz w:val="24"/>
          <w:szCs w:val="24"/>
        </w:rPr>
        <w:t xml:space="preserve">Quest’ultima </w:t>
      </w:r>
      <w:r w:rsidR="00A16F4A">
        <w:rPr>
          <w:rFonts w:ascii="Times New Roman" w:eastAsia="Times New Roman" w:hAnsi="Times New Roman" w:cs="Times New Roman"/>
          <w:sz w:val="24"/>
          <w:szCs w:val="24"/>
        </w:rPr>
        <w:t>risulta essere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uno degli strumenti fondamentali che permette all’educatore di rendere visibile e riconoscere il valore del proprio ruolo, lasciando traccia del lavoro svolto. In questo senso, uno degli obiettivi della scrittura professionale è quello di orientare i servizi (servizi sociali, tribunali, scuole ecc.) affinché comprendano l’efficacia degli interventi educativi messi in atto dai professionisti di primo livello. </w:t>
      </w:r>
    </w:p>
    <w:p w14:paraId="1379E859" w14:textId="039F7BE3" w:rsidR="002F42AD" w:rsidRDefault="006A3A02" w:rsidP="002F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All’interno di questo macro-tema, di particolare rilevanza è stato il ragionamento condiviso sull’importanza delle parole. Per sceglierle è </w:t>
      </w:r>
      <w:r w:rsidR="002F42AD">
        <w:rPr>
          <w:rFonts w:ascii="Times New Roman" w:eastAsia="Times New Roman" w:hAnsi="Times New Roman" w:cs="Times New Roman"/>
          <w:sz w:val="24"/>
          <w:szCs w:val="24"/>
        </w:rPr>
        <w:t xml:space="preserve">fondamentale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avere in mente la dimensione di potere che è in gioco. </w:t>
      </w:r>
      <w:r w:rsidR="002F42AD">
        <w:rPr>
          <w:rFonts w:ascii="Times New Roman" w:eastAsia="Times New Roman" w:hAnsi="Times New Roman" w:cs="Times New Roman"/>
          <w:sz w:val="24"/>
          <w:szCs w:val="24"/>
        </w:rPr>
        <w:t>Infatti,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lavoro educativo prevede una grande responsabilità nei confronti della vita delle persone, soprattutto quando le relazioni sugli interventi vengono scritte, condivise ed utilizzate da altri servizi. </w:t>
      </w:r>
    </w:p>
    <w:p w14:paraId="702FADEA" w14:textId="545D94CD" w:rsidR="002037A2" w:rsidRDefault="006A3A02" w:rsidP="002F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questo proposito </w:t>
      </w:r>
      <w:r w:rsidR="00446A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Duccio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Demetrio afferma:</w:t>
      </w:r>
    </w:p>
    <w:p w14:paraId="1A9C668E" w14:textId="77777777" w:rsidR="002F42AD" w:rsidRPr="002F42AD" w:rsidRDefault="002F42AD" w:rsidP="002F42A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FE350" w14:textId="4103B963" w:rsidR="002037A2" w:rsidRDefault="006A3A02" w:rsidP="00446A32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highlight w:val="white"/>
        </w:rPr>
        <w:t>"Ogni p</w:t>
      </w:r>
      <w:r>
        <w:rPr>
          <w:rFonts w:ascii="Times New Roman" w:eastAsia="Times New Roman" w:hAnsi="Times New Roman" w:cs="Times New Roman"/>
          <w:i/>
        </w:rPr>
        <w:t>arola detta o scritta, vecchia o nuova, insomma, non è mai una parola: è la sintesi di mentalità ricevute in eredità […] Le parole non sono mai impersonali, asettiche e innocenti: vanno rapportate agli intenti di chi le usa, alla possibilità di non venir fraintesi da parte di chi ne è il destinatario […] L’esame costante delle parole non concerne un passatempo colto e dilettevole: chiama in causa questioni ben più complicate, e non proprio glottologiche, oltre a responsabilità di carattere civile e morale”</w:t>
      </w:r>
      <w:r w:rsidR="00446A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42AD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14:paraId="78307742" w14:textId="77777777" w:rsidR="002037A2" w:rsidRDefault="0020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C2146" w14:textId="6BBAF197" w:rsidR="002037A2" w:rsidRDefault="006A3A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Tramite questa citazione sono emerse due tematiche cruciali</w:t>
      </w:r>
      <w:r w:rsidR="002F42AD">
        <w:rPr>
          <w:rFonts w:ascii="Times New Roman" w:eastAsia="Times New Roman" w:hAnsi="Times New Roman" w:cs="Times New Roman"/>
          <w:sz w:val="24"/>
          <w:szCs w:val="24"/>
        </w:rPr>
        <w:t xml:space="preserve">, ossia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peso delle parole che vengono utilizzate, che riflettono una specifica forma mentis, e la cura nella loro scelta. Demetrio ci invita ad uscire dal nostro habitus, ovvero ciò che è implicito in noi e che richiama il nostro vissuto, a non affezionarci alle parole e metterle quotidianamente in discussione, con lo scopo di ampliare le possibilità. </w:t>
      </w:r>
    </w:p>
    <w:p w14:paraId="477575D6" w14:textId="77777777" w:rsidR="002037A2" w:rsidRDefault="006A3A0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 questo motivo, uno dei compiti principali del pedagogista è quello di supportare gli educatori nel lavoro di scrittura, supervisionando relazioni, elaborati, progetti, e-mail, cercando di dare importanza alle scritture educative e valorizzando il lavoro di équipe con altre figure professionali coinvolte.</w:t>
      </w:r>
    </w:p>
    <w:p w14:paraId="003672E1" w14:textId="53B94C6D" w:rsidR="002037A2" w:rsidRDefault="002C21C5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seguito della presentazione della Cooperativa e delle conduttrici, queste ultime </w:t>
      </w:r>
      <w:r w:rsidR="006A3A02">
        <w:rPr>
          <w:rFonts w:ascii="Times New Roman" w:eastAsia="Times New Roman" w:hAnsi="Times New Roman" w:cs="Times New Roman"/>
          <w:sz w:val="24"/>
          <w:szCs w:val="24"/>
        </w:rPr>
        <w:t>hanno proposto una riflessione individuale, domandando quali scritture sono state incontrate dalle partecipanti nel corso della propria vita professionale e personale. Sono stati forniti dei post-it sui quali ogni componente del gruppo ha potuto riportare le proprie esperienze di scrittura, come i diari di bordo, i progetti educativi, gli elaborati riflessivi ecc. Successivamente, tutte le partecipanti hanno condiviso quanto scritto e in questa occasione sono emerse le funzioni delle scritture professionali e i loro destinatari.</w:t>
      </w:r>
    </w:p>
    <w:p w14:paraId="43E1D6F0" w14:textId="77777777" w:rsidR="002037A2" w:rsidRDefault="006A3A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dare forma alle idee e organizzare i pensieri del gruppo, si è deciso di realizzare una rappresentazione grafica. In nero sono stati riportati i destinatari, interni ed esterni al servizio; con i colori, invece, sono state indicate le funzioni delle diverse forme di scrittura: riflessione, memoria, documentazione, progettazione e comunicazione. Alcune di queste risultano essere trasversali, altre più specifiche.</w:t>
      </w:r>
    </w:p>
    <w:p w14:paraId="247EEA4B" w14:textId="77777777" w:rsidR="002C21C5" w:rsidRDefault="006A3A0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23AFFD" wp14:editId="085138C1">
            <wp:simplePos x="0" y="0"/>
            <wp:positionH relativeFrom="margin">
              <wp:posOffset>-635</wp:posOffset>
            </wp:positionH>
            <wp:positionV relativeFrom="paragraph">
              <wp:posOffset>157480</wp:posOffset>
            </wp:positionV>
            <wp:extent cx="2355850" cy="2895600"/>
            <wp:effectExtent l="0" t="0" r="6350" b="0"/>
            <wp:wrapSquare wrapText="bothSides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C7782B" w14:textId="77777777" w:rsidR="002C21C5" w:rsidRDefault="002C21C5" w:rsidP="002C21C5">
      <w:pPr>
        <w:spacing w:before="200"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BC7B0" w14:textId="77777777" w:rsidR="002C21C5" w:rsidRDefault="002C21C5" w:rsidP="002C21C5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8C8DDB7" w14:textId="5BED8B09" w:rsidR="002C21C5" w:rsidRPr="002C21C5" w:rsidRDefault="002C21C5" w:rsidP="002C21C5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Hlk151655864"/>
      <w:r w:rsidRPr="002C21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Fig. 1 – Scritture professionali: quali funzioni?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2C21C5">
        <w:rPr>
          <w:rFonts w:ascii="Times New Roman" w:eastAsia="Times New Roman" w:hAnsi="Times New Roman" w:cs="Times New Roman"/>
          <w:i/>
          <w:iCs/>
          <w:sz w:val="24"/>
          <w:szCs w:val="24"/>
        </w:rPr>
        <w:t>iflessione condivisa</w:t>
      </w:r>
    </w:p>
    <w:bookmarkEnd w:id="0"/>
    <w:p w14:paraId="2F120568" w14:textId="77777777" w:rsidR="002C21C5" w:rsidRDefault="002C21C5" w:rsidP="002C21C5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6BEB21ED" w14:textId="53DF0D67" w:rsidR="002037A2" w:rsidRDefault="006A3A02" w:rsidP="002C21C5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seguito di un confronto sulle funzioni delle scritture professionali, le partecipanti sono state invitate a posizionare all’interno della griglia i post-it realizzati, associandoli alle funzioni precedentemente individuate.</w:t>
      </w:r>
    </w:p>
    <w:p w14:paraId="36817982" w14:textId="77777777" w:rsidR="002037A2" w:rsidRDefault="006A3A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7986058" wp14:editId="7E6BCAD5">
            <wp:simplePos x="0" y="0"/>
            <wp:positionH relativeFrom="column">
              <wp:posOffset>346</wp:posOffset>
            </wp:positionH>
            <wp:positionV relativeFrom="paragraph">
              <wp:posOffset>750</wp:posOffset>
            </wp:positionV>
            <wp:extent cx="2447925" cy="3390900"/>
            <wp:effectExtent l="0" t="0" r="9525" b="0"/>
            <wp:wrapSquare wrapText="bothSides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E5A52D" w14:textId="77777777" w:rsidR="002C21C5" w:rsidRDefault="002C21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E975E" w14:textId="77777777" w:rsidR="002C21C5" w:rsidRDefault="002C21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E97F1" w14:textId="77777777" w:rsidR="002C21C5" w:rsidRDefault="002C21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8E505" w14:textId="45B225C9" w:rsidR="002C21C5" w:rsidRPr="002C21C5" w:rsidRDefault="002C21C5" w:rsidP="002C21C5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21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Fig. 2 – Post-it posizionati in base alle varie funzioni </w:t>
      </w:r>
    </w:p>
    <w:p w14:paraId="7361756A" w14:textId="77777777" w:rsidR="002C21C5" w:rsidRPr="002C21C5" w:rsidRDefault="002C21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6719D" w14:textId="77777777" w:rsidR="002C21C5" w:rsidRPr="002C21C5" w:rsidRDefault="002C21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D5F7C" w14:textId="77777777" w:rsidR="002C21C5" w:rsidRPr="002C21C5" w:rsidRDefault="002C21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D896A" w14:textId="77777777" w:rsidR="002C21C5" w:rsidRPr="002C21C5" w:rsidRDefault="002C21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150D5" w14:textId="77777777" w:rsidR="002C21C5" w:rsidRPr="002C21C5" w:rsidRDefault="002C21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353B1" w14:textId="620B0B17" w:rsidR="005B4774" w:rsidRDefault="005B4774" w:rsidP="002C2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 si può notare d</w:t>
      </w:r>
      <w:r w:rsidR="000C6C8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ll’osservazione della </w:t>
      </w:r>
      <w:r w:rsidRPr="005B4774">
        <w:rPr>
          <w:rFonts w:ascii="Times New Roman" w:eastAsia="Times New Roman" w:hAnsi="Times New Roman" w:cs="Times New Roman"/>
          <w:i/>
          <w:iCs/>
          <w:sz w:val="24"/>
          <w:szCs w:val="24"/>
        </w:rPr>
        <w:t>Figura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spiccano i post-it posizionati nella funzione di riflessione e in quella di comunicazione. In effetti, da un confronto con il gruppo è emerso che questi sono gli ambiti in cui </w:t>
      </w:r>
      <w:r w:rsidR="00A16633">
        <w:rPr>
          <w:rFonts w:ascii="Times New Roman" w:eastAsia="Times New Roman" w:hAnsi="Times New Roman" w:cs="Times New Roman"/>
          <w:sz w:val="24"/>
          <w:szCs w:val="24"/>
        </w:rPr>
        <w:t xml:space="preserve">le studentesse hanno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maggiormente sperimentato le scritture. In particolare, nel caso della comunicazione la maggior parte delle partecipanti ha utilizzato la scrittura per riportare le informazioni a figure esterne al servizio, ad esempio </w:t>
      </w:r>
      <w:r w:rsidR="000C6C8C">
        <w:rPr>
          <w:rFonts w:ascii="Times New Roman" w:eastAsia="Times New Roman" w:hAnsi="Times New Roman" w:cs="Times New Roman"/>
          <w:sz w:val="24"/>
          <w:szCs w:val="24"/>
        </w:rPr>
        <w:t xml:space="preserve">relazioni ai servizi sociali o alle famiglie, mentre nel caso della riflessione sono presenti </w:t>
      </w:r>
      <w:r w:rsidR="00A16633">
        <w:rPr>
          <w:rFonts w:ascii="Times New Roman" w:eastAsia="Times New Roman" w:hAnsi="Times New Roman" w:cs="Times New Roman"/>
          <w:sz w:val="24"/>
          <w:szCs w:val="24"/>
        </w:rPr>
        <w:t xml:space="preserve">tipologie di </w:t>
      </w:r>
      <w:r w:rsidR="000C6C8C">
        <w:rPr>
          <w:rFonts w:ascii="Times New Roman" w:eastAsia="Times New Roman" w:hAnsi="Times New Roman" w:cs="Times New Roman"/>
          <w:sz w:val="24"/>
          <w:szCs w:val="24"/>
        </w:rPr>
        <w:t xml:space="preserve">scrittura personale, come </w:t>
      </w:r>
      <w:r w:rsidR="00EB3B5A">
        <w:rPr>
          <w:rFonts w:ascii="Times New Roman" w:eastAsia="Times New Roman" w:hAnsi="Times New Roman" w:cs="Times New Roman"/>
          <w:sz w:val="24"/>
          <w:szCs w:val="24"/>
        </w:rPr>
        <w:t>quel</w:t>
      </w:r>
      <w:r w:rsidR="000C6C8C">
        <w:rPr>
          <w:rFonts w:ascii="Times New Roman" w:eastAsia="Times New Roman" w:hAnsi="Times New Roman" w:cs="Times New Roman"/>
          <w:sz w:val="24"/>
          <w:szCs w:val="24"/>
        </w:rPr>
        <w:t>la auto-biografica.</w:t>
      </w:r>
    </w:p>
    <w:p w14:paraId="6CD4E3C8" w14:textId="77777777" w:rsidR="000C6C8C" w:rsidRDefault="000C6C8C" w:rsidP="002C2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F462C" w14:textId="646790FA" w:rsidR="002037A2" w:rsidRDefault="006A3A02" w:rsidP="002C2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 seguito un lavoro di analisi e revisione di due relazioni educative riguardanti esperienze reali all’interno d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servizi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Spazio Neutro e ADM. 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 xml:space="preserve">Le partecipanti al workshop (8 in totale) sono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suddivis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6C5">
        <w:rPr>
          <w:rFonts w:ascii="Times New Roman" w:eastAsia="Times New Roman" w:hAnsi="Times New Roman" w:cs="Times New Roman"/>
          <w:sz w:val="24"/>
          <w:szCs w:val="24"/>
        </w:rPr>
        <w:t xml:space="preserve">in due </w:t>
      </w:r>
      <w:r>
        <w:rPr>
          <w:rFonts w:ascii="Times New Roman" w:eastAsia="Times New Roman" w:hAnsi="Times New Roman" w:cs="Times New Roman"/>
          <w:sz w:val="24"/>
          <w:szCs w:val="24"/>
        </w:rPr>
        <w:t>sottogruppi di quattro partecipanti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 xml:space="preserve"> ciascuno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cui sono stati forniti 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>i documenti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Il compito è stato quello di analizzare la relazione (i termini utilizzati, l’ipotesi dell’epistemologia di riferimento dell’educatore ecc.) e di “scavare” nella documentazione con uno sguardo di secondo livello. Per favorire lo svolgimento del lavoro sono state fornite delle domande guida: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“A chi/quale ente è destinata questa relazione?”; “Chi la leggerà?”; “È comprensibile il ruolo ricoperto dall’educatore?”</w:t>
      </w:r>
      <w:r w:rsidR="00446A32"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6AD3C692" w14:textId="1B8D3BF5" w:rsidR="002037A2" w:rsidRDefault="006A3A02" w:rsidP="002C2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Dopo una prima lettura sono stati individuati vari elementi di criticità relativi alla scrittura, attraverso un’analisi ispirata all’approccio archeologico di </w:t>
      </w:r>
      <w:r w:rsidR="00446A32">
        <w:rPr>
          <w:rFonts w:ascii="Times New Roman" w:eastAsia="Times New Roman" w:hAnsi="Times New Roman" w:cs="Times New Roman"/>
          <w:sz w:val="24"/>
          <w:szCs w:val="24"/>
        </w:rPr>
        <w:t>Pierangelo Barone</w:t>
      </w:r>
      <w:r>
        <w:rPr>
          <w:rFonts w:ascii="Times New Roman" w:eastAsia="Times New Roman" w:hAnsi="Times New Roman" w:cs="Times New Roman"/>
          <w:sz w:val="24"/>
          <w:szCs w:val="24"/>
        </w:rPr>
        <w:t>, presente nel testo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Fare di ogni individuo un caso. Un approccio archeologico in pedagogia</w:t>
      </w:r>
      <w:r w:rsidR="002C21C5">
        <w:rPr>
          <w:rFonts w:ascii="Times New Roman" w:eastAsia="Times New Roman" w:hAnsi="Times New Roman" w:cs="Times New Roman"/>
          <w:i/>
          <w:sz w:val="24"/>
          <w:szCs w:val="24"/>
        </w:rPr>
        <w:t xml:space="preserve">”, </w:t>
      </w:r>
      <w:r w:rsidR="002C21C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alle latenze della Clinica della Formazione. Assumendo la postura del pedagogista è stato possibile apprendere l’importanza di individuare un contesto preciso (con spazi, tempi, oggetti, movimenti, corpi ben definiti), degli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obiettivi, la progettazione e le strategie. </w:t>
      </w:r>
      <w:r w:rsidR="002C21C5"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emersa la rilevanza della sintassi e, ancora una volta, quanto la scelta delle parole sia cruciale per la comprensione e una corretta comunicazione rispetto all’intenzione di far emergere il senso del lavoro educativo. In entrambe le relazioni è stata riscontrata una difficoltà 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>a comprendere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testi a causa della poca cura dei termini utilizzati, della mancanza di chiarezza e dell’assenza d</w:t>
      </w:r>
      <w:r w:rsidR="002C21C5">
        <w:rPr>
          <w:rFonts w:ascii="Times New Roman" w:eastAsia="Times New Roman" w:hAnsi="Times New Roman" w:cs="Times New Roman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informazioni fondamentali.</w:t>
      </w:r>
    </w:p>
    <w:p w14:paraId="5975BEE8" w14:textId="3DFDBEE6" w:rsidR="002037A2" w:rsidRDefault="006A3A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fase finale del lavoro è stata quella di proporre la revisione di una porzione di testo, principalmente tramite l’annotazione di possibili alternative alla scrittura originale. </w:t>
      </w:r>
    </w:p>
    <w:p w14:paraId="1529AB77" w14:textId="7DF0F025" w:rsidR="002037A2" w:rsidRDefault="009566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067BE60" wp14:editId="43936FA9">
            <wp:simplePos x="0" y="0"/>
            <wp:positionH relativeFrom="column">
              <wp:posOffset>2352040</wp:posOffset>
            </wp:positionH>
            <wp:positionV relativeFrom="paragraph">
              <wp:posOffset>2540</wp:posOffset>
            </wp:positionV>
            <wp:extent cx="2339975" cy="3133090"/>
            <wp:effectExtent l="0" t="0" r="3175" b="0"/>
            <wp:wrapSquare wrapText="bothSides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3133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A3A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7AFE67" wp14:editId="0E6B406E">
            <wp:simplePos x="0" y="0"/>
            <wp:positionH relativeFrom="column">
              <wp:posOffset>879</wp:posOffset>
            </wp:positionH>
            <wp:positionV relativeFrom="paragraph">
              <wp:posOffset>2687</wp:posOffset>
            </wp:positionV>
            <wp:extent cx="2352261" cy="3134043"/>
            <wp:effectExtent l="0" t="0" r="0" b="9525"/>
            <wp:wrapSquare wrapText="bothSides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261" cy="3134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59ADA8" w14:textId="77777777" w:rsidR="009566AD" w:rsidRDefault="009566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E3FA1" w14:textId="77777777" w:rsidR="009566AD" w:rsidRDefault="009566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DFAC5" w14:textId="77777777" w:rsidR="009566AD" w:rsidRDefault="009566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2E3081" w14:textId="77777777" w:rsidR="009566AD" w:rsidRDefault="009566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4A72E" w14:textId="77777777" w:rsidR="009566AD" w:rsidRDefault="009566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26272" w14:textId="77777777" w:rsidR="009566AD" w:rsidRDefault="009566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F60A6" w14:textId="77777777" w:rsidR="009566AD" w:rsidRDefault="009566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13C54" w14:textId="77777777" w:rsidR="009566AD" w:rsidRDefault="009566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E9592" w14:textId="101AB489" w:rsidR="009566AD" w:rsidRPr="009566AD" w:rsidRDefault="009566A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566AD">
        <w:rPr>
          <w:rFonts w:ascii="Times New Roman" w:eastAsia="Times New Roman" w:hAnsi="Times New Roman" w:cs="Times New Roman"/>
          <w:i/>
          <w:iCs/>
          <w:sz w:val="24"/>
          <w:szCs w:val="24"/>
        </w:rPr>
        <w:t>Figure 3 e 4 – Riscritture messe in atto dai due sottogruppi</w:t>
      </w:r>
    </w:p>
    <w:p w14:paraId="7AA3BE42" w14:textId="1617141C" w:rsidR="002037A2" w:rsidRDefault="006A3A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Come si può notare dalle </w:t>
      </w:r>
      <w:r w:rsidRPr="005B4774">
        <w:rPr>
          <w:rFonts w:ascii="Times New Roman" w:eastAsia="Times New Roman" w:hAnsi="Times New Roman" w:cs="Times New Roman"/>
          <w:i/>
          <w:iCs/>
          <w:sz w:val="24"/>
          <w:szCs w:val="24"/>
        </w:rPr>
        <w:t>figure 3 e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entrambi i sottogruppi sono stati </w:t>
      </w:r>
      <w:r w:rsidR="009566AD">
        <w:rPr>
          <w:rFonts w:ascii="Times New Roman" w:eastAsia="Times New Roman" w:hAnsi="Times New Roman" w:cs="Times New Roman"/>
          <w:sz w:val="24"/>
          <w:szCs w:val="24"/>
        </w:rPr>
        <w:t xml:space="preserve">riportati </w:t>
      </w:r>
      <w:r>
        <w:rPr>
          <w:rFonts w:ascii="Times New Roman" w:eastAsia="Times New Roman" w:hAnsi="Times New Roman" w:cs="Times New Roman"/>
          <w:sz w:val="24"/>
          <w:szCs w:val="24"/>
        </w:rPr>
        <w:t>alcuni appunti direttamente sui testi, proponendo degli stimoli che aiutassero gli educatori a migliorare la scrittura professionale.  Di seguito se ne possono elencare alcuni:</w:t>
      </w:r>
    </w:p>
    <w:p w14:paraId="76C6D57F" w14:textId="3FF42FDB" w:rsidR="002037A2" w:rsidRDefault="006A3A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Evitare l’utilizzo di avverbi (come sempre, spesso, mai ecc.), ad esempio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“Tende sempre a fare il minimo”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per escludere generalizzazioni all’interno di situazioni specifiche; </w:t>
      </w:r>
    </w:p>
    <w:p w14:paraId="44F95C27" w14:textId="73D6F531" w:rsidR="002037A2" w:rsidRDefault="006A3A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Cercare di astenersi da una valutazione personale o da una presa di posizione, come nel caso 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 xml:space="preserve">del documento relativo al servizio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Spazio Neutro dove l’educatore rivolge il suo sguardo alla figura del padre con considerazioni prettamente positive;</w:t>
      </w:r>
    </w:p>
    <w:p w14:paraId="2D51171D" w14:textId="43134702" w:rsidR="002037A2" w:rsidRDefault="006A3A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utilizzare un linguaggio colloquiale, ad esempio </w:t>
      </w:r>
      <w:r w:rsidR="00F922F0">
        <w:rPr>
          <w:rFonts w:ascii="Times New Roman" w:eastAsia="Times New Roman" w:hAnsi="Times New Roman" w:cs="Times New Roman"/>
          <w:i/>
          <w:sz w:val="24"/>
          <w:szCs w:val="24"/>
        </w:rPr>
        <w:t>“Ci si mette lì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lo si aiuta”</w:t>
      </w:r>
      <w:r>
        <w:rPr>
          <w:rFonts w:ascii="Times New Roman" w:eastAsia="Times New Roman" w:hAnsi="Times New Roman" w:cs="Times New Roman"/>
          <w:sz w:val="24"/>
          <w:szCs w:val="24"/>
        </w:rPr>
        <w:t>, prediligendo un linguaggio formale e professionale;</w:t>
      </w:r>
    </w:p>
    <w:p w14:paraId="1AF0904D" w14:textId="77777777" w:rsidR="002037A2" w:rsidRDefault="006A3A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Partire dai punti di forza dei soggetti coinvolti, esplicitando correttamente i limiti presenti ed evitando di essere influenzati dai propri pregiudizi;</w:t>
      </w:r>
    </w:p>
    <w:p w14:paraId="19DC8881" w14:textId="77777777" w:rsidR="002037A2" w:rsidRDefault="006A3A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Riportare il focus sul progetto educativo e sugli obiettivi e la verifica degli stessi;</w:t>
      </w:r>
    </w:p>
    <w:p w14:paraId="3C6D8EFC" w14:textId="77777777" w:rsidR="002037A2" w:rsidRDefault="006A3A0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Promuovere la rilettura critica degli elaborati.</w:t>
      </w:r>
    </w:p>
    <w:p w14:paraId="52133662" w14:textId="1441ED90" w:rsidR="002037A2" w:rsidRDefault="006A3A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quanto concerne le esperienze personali delle partecipanti, sicuramente in altri momenti della carriera universitaria è stato chiesto di vestire i panni del pedagogista, ad esempio durante i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 xml:space="preserve"> laboratorio collegati agli insegnamenti di Metodologia della ricerca pedagogica e di</w:t>
      </w:r>
      <w:r w:rsidR="00E179C4">
        <w:rPr>
          <w:rFonts w:ascii="Times New Roman" w:eastAsia="Times New Roman" w:hAnsi="Times New Roman" w:cs="Times New Roman"/>
          <w:sz w:val="24"/>
          <w:szCs w:val="24"/>
        </w:rPr>
        <w:t xml:space="preserve"> Progettazione e Valutazione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E179C4">
        <w:rPr>
          <w:rFonts w:ascii="Times New Roman" w:eastAsia="Times New Roman" w:hAnsi="Times New Roman" w:cs="Times New Roman"/>
          <w:sz w:val="24"/>
          <w:szCs w:val="24"/>
        </w:rPr>
        <w:t>i servizi e degli interventi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 xml:space="preserve"> educativi</w:t>
      </w:r>
      <w:r w:rsidR="00E179C4">
        <w:rPr>
          <w:rFonts w:ascii="Times New Roman" w:eastAsia="Times New Roman" w:hAnsi="Times New Roman" w:cs="Times New Roman"/>
          <w:sz w:val="24"/>
          <w:szCs w:val="24"/>
        </w:rPr>
        <w:t>, frequentati durante il primo anno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 xml:space="preserve">, ma in generale nelle materie studiate, la proposta </w:t>
      </w:r>
      <w:r w:rsidR="00E179C4">
        <w:rPr>
          <w:rFonts w:ascii="Times New Roman" w:eastAsia="Times New Roman" w:hAnsi="Times New Roman" w:cs="Times New Roman"/>
          <w:sz w:val="24"/>
          <w:szCs w:val="24"/>
        </w:rPr>
        <w:t>è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 xml:space="preserve"> quella di fare una passaggio di sguardo dal lavoro di primo livello, al lavoro di secondo livello</w:t>
      </w:r>
      <w:r>
        <w:rPr>
          <w:rFonts w:ascii="Times New Roman" w:eastAsia="Times New Roman" w:hAnsi="Times New Roman" w:cs="Times New Roman"/>
          <w:sz w:val="24"/>
          <w:szCs w:val="24"/>
        </w:rPr>
        <w:t>. Tuttavia, durante</w:t>
      </w:r>
      <w:r w:rsidR="00E179C4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fase di revisione </w:t>
      </w:r>
      <w:r w:rsidR="00E179C4">
        <w:rPr>
          <w:rFonts w:ascii="Times New Roman" w:eastAsia="Times New Roman" w:hAnsi="Times New Roman" w:cs="Times New Roman"/>
          <w:sz w:val="24"/>
          <w:szCs w:val="24"/>
        </w:rPr>
        <w:t xml:space="preserve">dei documenti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stato possibile sentirsi immedesimate in un professionista </w:t>
      </w:r>
      <w:r w:rsidR="00446A32">
        <w:rPr>
          <w:rFonts w:ascii="Times New Roman" w:eastAsia="Times New Roman" w:hAnsi="Times New Roman" w:cs="Times New Roman"/>
          <w:sz w:val="24"/>
          <w:szCs w:val="24"/>
        </w:rPr>
        <w:t xml:space="preserve">educativo </w:t>
      </w:r>
      <w:r>
        <w:rPr>
          <w:rFonts w:ascii="Times New Roman" w:eastAsia="Times New Roman" w:hAnsi="Times New Roman" w:cs="Times New Roman"/>
          <w:sz w:val="24"/>
          <w:szCs w:val="24"/>
        </w:rPr>
        <w:t>di secondo livello in modo più rilevante. Grazie a tale simulazione si è potuto comprendere fino in fondo l’importanza della programmazione dei tempi di lavoro, i quali non dipendono esclusivamente dal pedagogista, ma anche dagli altri attori coinvolti. A questo proposito, il pedagogista riflessivo deve sapersi chiedere quanto sia sostenibile il suo intervento.</w:t>
      </w:r>
    </w:p>
    <w:p w14:paraId="461A2977" w14:textId="0DD8D003" w:rsidR="002037A2" w:rsidRDefault="006A3A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conclusione, </w:t>
      </w:r>
      <w:r w:rsidR="00E179C4">
        <w:rPr>
          <w:rFonts w:ascii="Times New Roman" w:eastAsia="Times New Roman" w:hAnsi="Times New Roman" w:cs="Times New Roman"/>
          <w:sz w:val="24"/>
          <w:szCs w:val="24"/>
        </w:rPr>
        <w:t xml:space="preserve">questo </w:t>
      </w:r>
      <w:r>
        <w:rPr>
          <w:rFonts w:ascii="Times New Roman" w:eastAsia="Times New Roman" w:hAnsi="Times New Roman" w:cs="Times New Roman"/>
          <w:sz w:val="24"/>
          <w:szCs w:val="24"/>
        </w:rPr>
        <w:t>workshop è stato formativo e stimolante, poiché ha permesso di porsi le giuste domande e chiarire un’altra funzione di secondo livello che risulta fondamentale per la formazione e la supervisione del lavoro degli educatori</w:t>
      </w:r>
      <w:r w:rsidRPr="00131735">
        <w:rPr>
          <w:rFonts w:ascii="Times New Roman" w:eastAsia="Times New Roman" w:hAnsi="Times New Roman" w:cs="Times New Roman"/>
          <w:sz w:val="24"/>
          <w:szCs w:val="24"/>
        </w:rPr>
        <w:t>. La maggiore consapevolezza raggiunta e condivisa dal gruppo è che il pedagogista non deve chiudere ma aprire possibilità</w:t>
      </w:r>
      <w:r w:rsidR="00CE42E8" w:rsidRPr="00012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2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così come ci ricorda Formenti nel suo testo </w:t>
      </w:r>
      <w:r w:rsidR="00012B51" w:rsidRPr="00A276C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“Formazione e Trasformazione. Un modello complesso”</w:t>
      </w:r>
      <w:r w:rsidR="00012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descrivendo l’</w:t>
      </w:r>
      <w:r w:rsidR="00CE42E8" w:rsidRPr="00012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imperativo etico </w:t>
      </w:r>
      <w:r w:rsidR="00012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attraverso la frase di </w:t>
      </w:r>
      <w:r w:rsidR="00CE42E8" w:rsidRPr="00012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Heinz von </w:t>
      </w:r>
      <w:proofErr w:type="spellStart"/>
      <w:r w:rsidR="00CE42E8" w:rsidRPr="00012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Foerster</w:t>
      </w:r>
      <w:proofErr w:type="spellEnd"/>
      <w:r w:rsidR="00CE42E8" w:rsidRPr="00012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CE42E8" w:rsidRPr="00012B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Agisci sempre in modo da aumentare le possibilità</w:t>
      </w:r>
      <w:r w:rsidR="00446A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  <w:bookmarkStart w:id="1" w:name="_GoBack"/>
      <w:bookmarkEnd w:id="1"/>
      <w:r w:rsidR="00012B51">
        <w:rPr>
          <w:rStyle w:val="Rimandonotaapidipagina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footnoteReference w:id="2"/>
      </w:r>
      <w:r w:rsidR="00A27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A276C5" w:rsidRPr="00012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inoltre</w:t>
      </w:r>
      <w:r w:rsidR="00012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un’ulteriore consapevolezza acquisita è </w:t>
      </w:r>
      <w:r w:rsidR="00CE42E8" w:rsidRPr="00012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 nell’esercizio della scrittura si è tenuti a formulare ipotesi, a prestare cura alle parole, scegliendo ciò che si vuole comunicar</w:t>
      </w:r>
      <w:r w:rsidR="00012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e. </w:t>
      </w:r>
    </w:p>
    <w:p w14:paraId="74B5883A" w14:textId="77777777" w:rsidR="002037A2" w:rsidRDefault="002037A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sectPr w:rsidR="002037A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B1121" w14:textId="77777777" w:rsidR="00094695" w:rsidRDefault="00094695" w:rsidP="002F42AD">
      <w:pPr>
        <w:spacing w:after="0" w:line="240" w:lineRule="auto"/>
      </w:pPr>
      <w:r>
        <w:separator/>
      </w:r>
    </w:p>
  </w:endnote>
  <w:endnote w:type="continuationSeparator" w:id="0">
    <w:p w14:paraId="752F738B" w14:textId="77777777" w:rsidR="00094695" w:rsidRDefault="00094695" w:rsidP="002F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B1D6E" w14:textId="77777777" w:rsidR="00094695" w:rsidRDefault="00094695" w:rsidP="002F42AD">
      <w:pPr>
        <w:spacing w:after="0" w:line="240" w:lineRule="auto"/>
      </w:pPr>
      <w:r>
        <w:separator/>
      </w:r>
    </w:p>
  </w:footnote>
  <w:footnote w:type="continuationSeparator" w:id="0">
    <w:p w14:paraId="74C8B6CF" w14:textId="77777777" w:rsidR="00094695" w:rsidRDefault="00094695" w:rsidP="002F42AD">
      <w:pPr>
        <w:spacing w:after="0" w:line="240" w:lineRule="auto"/>
      </w:pPr>
      <w:r>
        <w:continuationSeparator/>
      </w:r>
    </w:p>
  </w:footnote>
  <w:footnote w:id="1">
    <w:p w14:paraId="360DF8D8" w14:textId="49823A7B" w:rsidR="002F42AD" w:rsidRPr="002F42AD" w:rsidRDefault="002F42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42AD">
        <w:rPr>
          <w:rFonts w:ascii="Times New Roman" w:hAnsi="Times New Roman" w:cs="Times New Roman"/>
        </w:rPr>
        <w:t>Demetrio D</w:t>
      </w:r>
      <w:r w:rsidR="00A276C5">
        <w:rPr>
          <w:rFonts w:ascii="Times New Roman" w:hAnsi="Times New Roman" w:cs="Times New Roman"/>
        </w:rPr>
        <w:t>.</w:t>
      </w:r>
      <w:r w:rsidRPr="002F42AD">
        <w:rPr>
          <w:rFonts w:ascii="Times New Roman" w:hAnsi="Times New Roman" w:cs="Times New Roman"/>
        </w:rPr>
        <w:t xml:space="preserve">, </w:t>
      </w:r>
      <w:r w:rsidRPr="002F42AD">
        <w:rPr>
          <w:rFonts w:ascii="Times New Roman" w:hAnsi="Times New Roman" w:cs="Times New Roman"/>
          <w:i/>
          <w:iCs/>
        </w:rPr>
        <w:t>Educare è narrare. Le teorie, le pratiche, la cura</w:t>
      </w:r>
      <w:r w:rsidRPr="002F42A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pagg</w:t>
      </w:r>
      <w:proofErr w:type="spellEnd"/>
      <w:r>
        <w:rPr>
          <w:rFonts w:ascii="Times New Roman" w:hAnsi="Times New Roman" w:cs="Times New Roman"/>
        </w:rPr>
        <w:t xml:space="preserve">. 31- 32, </w:t>
      </w:r>
      <w:proofErr w:type="spellStart"/>
      <w:r w:rsidRPr="002F42AD">
        <w:rPr>
          <w:rFonts w:ascii="Times New Roman" w:hAnsi="Times New Roman" w:cs="Times New Roman"/>
        </w:rPr>
        <w:t>Mimesis</w:t>
      </w:r>
      <w:proofErr w:type="spellEnd"/>
      <w:r w:rsidRPr="002F42AD">
        <w:rPr>
          <w:rFonts w:ascii="Times New Roman" w:hAnsi="Times New Roman" w:cs="Times New Roman"/>
        </w:rPr>
        <w:t xml:space="preserve"> Edizioni, 2012</w:t>
      </w:r>
    </w:p>
  </w:footnote>
  <w:footnote w:id="2">
    <w:p w14:paraId="491F7027" w14:textId="4AE1AA03" w:rsidR="00012B51" w:rsidRPr="00A276C5" w:rsidRDefault="00012B51">
      <w:pPr>
        <w:pStyle w:val="Testonotaapidipagina"/>
        <w:rPr>
          <w:rFonts w:ascii="Times New Roman" w:hAnsi="Times New Roman" w:cs="Times New Roman"/>
        </w:rPr>
      </w:pPr>
      <w:r w:rsidRPr="00A276C5">
        <w:rPr>
          <w:rStyle w:val="Rimandonotaapidipagina"/>
          <w:rFonts w:ascii="Times New Roman" w:hAnsi="Times New Roman" w:cs="Times New Roman"/>
        </w:rPr>
        <w:footnoteRef/>
      </w:r>
      <w:r w:rsidRPr="00A276C5">
        <w:rPr>
          <w:rFonts w:ascii="Times New Roman" w:hAnsi="Times New Roman" w:cs="Times New Roman"/>
        </w:rPr>
        <w:t xml:space="preserve"> </w:t>
      </w:r>
      <w:r w:rsidR="00A276C5">
        <w:rPr>
          <w:rFonts w:ascii="Times New Roman" w:hAnsi="Times New Roman" w:cs="Times New Roman"/>
        </w:rPr>
        <w:t>Formenti L</w:t>
      </w:r>
      <w:r w:rsidR="001C7146">
        <w:rPr>
          <w:rFonts w:ascii="Times New Roman" w:hAnsi="Times New Roman" w:cs="Times New Roman"/>
        </w:rPr>
        <w:t>.</w:t>
      </w:r>
      <w:r w:rsidR="00A276C5">
        <w:rPr>
          <w:rFonts w:ascii="Times New Roman" w:hAnsi="Times New Roman" w:cs="Times New Roman"/>
        </w:rPr>
        <w:t xml:space="preserve">, </w:t>
      </w:r>
      <w:r w:rsidRPr="00A276C5">
        <w:rPr>
          <w:rFonts w:ascii="Times New Roman" w:hAnsi="Times New Roman" w:cs="Times New Roman"/>
          <w:i/>
          <w:iCs/>
        </w:rPr>
        <w:t>Formazione e trasformazione. Un modello complesso</w:t>
      </w:r>
      <w:r w:rsidRPr="00A276C5">
        <w:rPr>
          <w:rFonts w:ascii="Times New Roman" w:hAnsi="Times New Roman" w:cs="Times New Roman"/>
        </w:rPr>
        <w:t>, 2017, Raffaello Cortina Editore</w:t>
      </w:r>
      <w:r w:rsidR="00A276C5">
        <w:rPr>
          <w:rFonts w:ascii="Times New Roman" w:hAnsi="Times New Roman" w:cs="Times New Roman"/>
        </w:rPr>
        <w:t xml:space="preserve">, </w:t>
      </w:r>
      <w:r w:rsidRPr="00A276C5">
        <w:rPr>
          <w:rFonts w:ascii="Times New Roman" w:hAnsi="Times New Roman" w:cs="Times New Roman"/>
        </w:rPr>
        <w:t>p.44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7306"/>
    <w:multiLevelType w:val="multilevel"/>
    <w:tmpl w:val="19E0EB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A2"/>
    <w:rsid w:val="00012B51"/>
    <w:rsid w:val="0003006E"/>
    <w:rsid w:val="00094695"/>
    <w:rsid w:val="000C6C8C"/>
    <w:rsid w:val="000D5494"/>
    <w:rsid w:val="00131735"/>
    <w:rsid w:val="001C7146"/>
    <w:rsid w:val="002037A2"/>
    <w:rsid w:val="002C21C5"/>
    <w:rsid w:val="002F42AD"/>
    <w:rsid w:val="00446A32"/>
    <w:rsid w:val="005B4774"/>
    <w:rsid w:val="006A3A02"/>
    <w:rsid w:val="009467EF"/>
    <w:rsid w:val="009566AD"/>
    <w:rsid w:val="00A16633"/>
    <w:rsid w:val="00A16F4A"/>
    <w:rsid w:val="00A276C5"/>
    <w:rsid w:val="00B77EF0"/>
    <w:rsid w:val="00BE6C47"/>
    <w:rsid w:val="00CA2DE3"/>
    <w:rsid w:val="00CE42E8"/>
    <w:rsid w:val="00E179C4"/>
    <w:rsid w:val="00EB3B5A"/>
    <w:rsid w:val="00F16075"/>
    <w:rsid w:val="00F60DE2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4F5F"/>
  <w15:docId w15:val="{9791AABA-F02E-45B6-BFBF-DC780352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64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14CE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2F4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2AD"/>
  </w:style>
  <w:style w:type="paragraph" w:styleId="Pidipagina">
    <w:name w:val="footer"/>
    <w:basedOn w:val="Normale"/>
    <w:link w:val="PidipaginaCarattere"/>
    <w:uiPriority w:val="99"/>
    <w:unhideWhenUsed/>
    <w:rsid w:val="002F4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2A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2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2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+/g5DWK/6Fti3U44dRk147B8KQ==">CgMxLjA4AHIhMU01QnB4bTFtMDdSaXVvZmJRdUNreDFKbmVtQWJtSFZW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675DBE-7F4A-4555-A23A-E58B01AA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2023-12-09T17:12:00Z</dcterms:created>
  <dcterms:modified xsi:type="dcterms:W3CDTF">2024-04-10T09:13:00Z</dcterms:modified>
</cp:coreProperties>
</file>