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236098" w14:textId="77777777" w:rsidR="00483739" w:rsidRDefault="00000000">
      <w:pPr>
        <w:spacing w:after="0" w:line="240" w:lineRule="auto"/>
        <w:ind w:firstLine="142"/>
        <w:rPr>
          <w:rFonts w:ascii="Times New Roman" w:eastAsia="Times New Roman" w:hAnsi="Times New Roman" w:cs="Times New Roman"/>
          <w:sz w:val="32"/>
          <w:szCs w:val="32"/>
        </w:rPr>
      </w:pPr>
      <w:r>
        <w:rPr>
          <w:rFonts w:ascii="Calibri" w:eastAsia="Calibri" w:hAnsi="Calibri" w:cs="Calibri"/>
          <w:noProof/>
          <w:sz w:val="32"/>
          <w:szCs w:val="32"/>
        </w:rPr>
        <w:drawing>
          <wp:inline distT="0" distB="0" distL="0" distR="0" wp14:anchorId="4738E236" wp14:editId="6C4AFB7E">
            <wp:extent cx="1590675" cy="1562100"/>
            <wp:effectExtent l="0" t="0" r="0" b="0"/>
            <wp:docPr id="7"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590675" cy="1562100"/>
                    </a:xfrm>
                    <a:prstGeom prst="rect">
                      <a:avLst/>
                    </a:prstGeom>
                    <a:ln/>
                  </pic:spPr>
                </pic:pic>
              </a:graphicData>
            </a:graphic>
          </wp:inline>
        </w:drawing>
      </w:r>
      <w:r>
        <w:rPr>
          <w:rFonts w:ascii="Calibri" w:eastAsia="Calibri" w:hAnsi="Calibri" w:cs="Calibri"/>
          <w:sz w:val="32"/>
          <w:szCs w:val="32"/>
        </w:rPr>
        <w:tab/>
      </w:r>
      <w:r>
        <w:rPr>
          <w:rFonts w:ascii="Times New Roman" w:eastAsia="Times New Roman" w:hAnsi="Times New Roman" w:cs="Times New Roman"/>
          <w:sz w:val="32"/>
          <w:szCs w:val="32"/>
        </w:rPr>
        <w:t xml:space="preserve">Tirocinio Formativo e di Orientamento </w:t>
      </w:r>
    </w:p>
    <w:p w14:paraId="793D87E0" w14:textId="77777777" w:rsidR="00483739" w:rsidRDefault="00000000">
      <w:pPr>
        <w:spacing w:after="0" w:line="240" w:lineRule="auto"/>
        <w:ind w:left="2832"/>
        <w:rPr>
          <w:rFonts w:ascii="Times New Roman" w:eastAsia="Times New Roman" w:hAnsi="Times New Roman" w:cs="Times New Roman"/>
          <w:i/>
        </w:rPr>
      </w:pPr>
      <w:r>
        <w:rPr>
          <w:rFonts w:ascii="Times New Roman" w:eastAsia="Times New Roman" w:hAnsi="Times New Roman" w:cs="Times New Roman"/>
          <w:i/>
        </w:rPr>
        <w:t>Corso di Laurea Magistrale in Scienze Pedagogiche</w:t>
      </w:r>
    </w:p>
    <w:p w14:paraId="4892825A" w14:textId="77777777" w:rsidR="00483739" w:rsidRDefault="00000000">
      <w:pPr>
        <w:spacing w:after="0" w:line="240" w:lineRule="auto"/>
        <w:ind w:left="2694"/>
        <w:rPr>
          <w:rFonts w:ascii="Times New Roman" w:eastAsia="Times New Roman" w:hAnsi="Times New Roman" w:cs="Times New Roman"/>
          <w:i/>
        </w:rPr>
      </w:pPr>
      <w:r>
        <w:rPr>
          <w:rFonts w:ascii="Times New Roman" w:eastAsia="Times New Roman" w:hAnsi="Times New Roman" w:cs="Times New Roman"/>
          <w:i/>
          <w:sz w:val="20"/>
          <w:szCs w:val="20"/>
        </w:rPr>
        <w:t xml:space="preserve">  </w:t>
      </w:r>
      <w:r>
        <w:rPr>
          <w:rFonts w:ascii="Times New Roman" w:eastAsia="Times New Roman" w:hAnsi="Times New Roman" w:cs="Times New Roman"/>
          <w:i/>
        </w:rPr>
        <w:t>Dipartimento di Scienze Umane per la Formazione “Riccardo Massa”</w:t>
      </w:r>
    </w:p>
    <w:p w14:paraId="379F98C7" w14:textId="77777777" w:rsidR="00483739" w:rsidRDefault="00000000">
      <w:pPr>
        <w:widowControl w:val="0"/>
        <w:spacing w:after="0" w:line="240" w:lineRule="auto"/>
        <w:ind w:left="2694"/>
        <w:jc w:val="both"/>
        <w:rPr>
          <w:rFonts w:ascii="Times New Roman" w:eastAsia="Times New Roman" w:hAnsi="Times New Roman" w:cs="Times New Roman"/>
          <w:i/>
        </w:rPr>
      </w:pPr>
      <w:r>
        <w:rPr>
          <w:rFonts w:ascii="Times New Roman" w:eastAsia="Times New Roman" w:hAnsi="Times New Roman" w:cs="Times New Roman"/>
          <w:i/>
        </w:rPr>
        <w:t xml:space="preserve">  Università degli Studi di Milano – Bicocca</w:t>
      </w:r>
    </w:p>
    <w:p w14:paraId="00B4DB38" w14:textId="77777777" w:rsidR="00483739" w:rsidRDefault="00483739">
      <w:pPr>
        <w:widowControl w:val="0"/>
        <w:spacing w:after="0" w:line="240" w:lineRule="auto"/>
        <w:ind w:left="2694"/>
        <w:jc w:val="both"/>
        <w:rPr>
          <w:rFonts w:ascii="Times New Roman" w:eastAsia="Times New Roman" w:hAnsi="Times New Roman" w:cs="Times New Roman"/>
          <w:i/>
        </w:rPr>
      </w:pPr>
    </w:p>
    <w:p w14:paraId="354AAD6A" w14:textId="77777777" w:rsidR="00483739" w:rsidRDefault="00483739">
      <w:pPr>
        <w:widowControl w:val="0"/>
        <w:spacing w:after="0" w:line="240" w:lineRule="auto"/>
        <w:ind w:left="2694"/>
        <w:jc w:val="both"/>
        <w:rPr>
          <w:rFonts w:ascii="Times New Roman" w:eastAsia="Times New Roman" w:hAnsi="Times New Roman" w:cs="Times New Roman"/>
          <w:i/>
        </w:rPr>
      </w:pPr>
    </w:p>
    <w:p w14:paraId="0CEB8C96" w14:textId="77777777" w:rsidR="00483739" w:rsidRDefault="00483739">
      <w:pPr>
        <w:widowControl w:val="0"/>
        <w:spacing w:after="0" w:line="240" w:lineRule="auto"/>
        <w:ind w:left="2694"/>
        <w:jc w:val="both"/>
        <w:rPr>
          <w:rFonts w:ascii="Times New Roman" w:eastAsia="Times New Roman" w:hAnsi="Times New Roman" w:cs="Times New Roman"/>
          <w:i/>
        </w:rPr>
      </w:pPr>
    </w:p>
    <w:p w14:paraId="437D03A3" w14:textId="77777777" w:rsidR="00483739" w:rsidRDefault="00000000">
      <w:pPr>
        <w:widowControl w:val="0"/>
        <w:spacing w:after="0" w:line="24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Workshop anno accademico 2024/25</w:t>
      </w:r>
    </w:p>
    <w:p w14:paraId="2E015BB2" w14:textId="77777777" w:rsidR="00483739" w:rsidRDefault="00483739">
      <w:pPr>
        <w:widowControl w:val="0"/>
        <w:spacing w:after="0" w:line="240" w:lineRule="auto"/>
        <w:jc w:val="center"/>
        <w:rPr>
          <w:rFonts w:ascii="Times New Roman" w:eastAsia="Times New Roman" w:hAnsi="Times New Roman" w:cs="Times New Roman"/>
          <w:b/>
          <w:sz w:val="24"/>
          <w:szCs w:val="24"/>
        </w:rPr>
      </w:pPr>
    </w:p>
    <w:p w14:paraId="052784CC" w14:textId="77777777" w:rsidR="00483739" w:rsidRDefault="00000000">
      <w:pPr>
        <w:widowControl w:val="0"/>
        <w:spacing w:after="0" w:line="240" w:lineRule="auto"/>
        <w:jc w:val="center"/>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Coordinare le differenze</w:t>
      </w:r>
    </w:p>
    <w:p w14:paraId="581E4460" w14:textId="77777777" w:rsidR="00483739" w:rsidRDefault="00483739">
      <w:pPr>
        <w:widowControl w:val="0"/>
        <w:spacing w:after="0" w:line="240" w:lineRule="auto"/>
        <w:jc w:val="center"/>
        <w:rPr>
          <w:rFonts w:ascii="Times New Roman" w:eastAsia="Times New Roman" w:hAnsi="Times New Roman" w:cs="Times New Roman"/>
          <w:b/>
          <w:i/>
          <w:sz w:val="28"/>
          <w:szCs w:val="28"/>
        </w:rPr>
      </w:pPr>
    </w:p>
    <w:p w14:paraId="1C31EE8B" w14:textId="77777777" w:rsidR="00483739" w:rsidRDefault="00000000">
      <w:pPr>
        <w:widowControl w:val="0"/>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28/11/2024, Fondazione Casa della Carità </w:t>
      </w:r>
    </w:p>
    <w:p w14:paraId="429911E7" w14:textId="77777777" w:rsidR="00483739" w:rsidRDefault="00483739">
      <w:pPr>
        <w:widowControl w:val="0"/>
        <w:spacing w:after="0" w:line="240" w:lineRule="auto"/>
        <w:ind w:left="2694"/>
        <w:jc w:val="both"/>
        <w:rPr>
          <w:rFonts w:ascii="Times New Roman" w:eastAsia="Times New Roman" w:hAnsi="Times New Roman" w:cs="Times New Roman"/>
          <w:i/>
        </w:rPr>
      </w:pPr>
    </w:p>
    <w:p w14:paraId="0550A8BB" w14:textId="77777777" w:rsidR="00483739" w:rsidRDefault="00483739">
      <w:pPr>
        <w:widowControl w:val="0"/>
        <w:spacing w:after="0" w:line="240" w:lineRule="auto"/>
        <w:rPr>
          <w:rFonts w:ascii="Times New Roman" w:eastAsia="Times New Roman" w:hAnsi="Times New Roman" w:cs="Times New Roman"/>
          <w:i/>
        </w:rPr>
      </w:pPr>
    </w:p>
    <w:p w14:paraId="0265D14C" w14:textId="77777777" w:rsidR="00483739" w:rsidRDefault="00483739">
      <w:pPr>
        <w:widowControl w:val="0"/>
        <w:spacing w:after="0" w:line="240" w:lineRule="auto"/>
        <w:rPr>
          <w:rFonts w:ascii="Times New Roman" w:eastAsia="Times New Roman" w:hAnsi="Times New Roman" w:cs="Times New Roman"/>
          <w:i/>
        </w:rPr>
      </w:pPr>
    </w:p>
    <w:p w14:paraId="171B0F67" w14:textId="77777777" w:rsidR="00483739" w:rsidRDefault="00483739">
      <w:pPr>
        <w:widowControl w:val="0"/>
        <w:spacing w:after="0" w:line="240" w:lineRule="auto"/>
        <w:rPr>
          <w:rFonts w:ascii="Times New Roman" w:eastAsia="Times New Roman" w:hAnsi="Times New Roman" w:cs="Times New Roman"/>
          <w:i/>
        </w:rPr>
      </w:pPr>
    </w:p>
    <w:p w14:paraId="042A9E24" w14:textId="77777777" w:rsidR="00483739" w:rsidRDefault="00483739">
      <w:pPr>
        <w:widowControl w:val="0"/>
        <w:spacing w:after="0" w:line="240" w:lineRule="auto"/>
        <w:rPr>
          <w:rFonts w:ascii="Times New Roman" w:eastAsia="Times New Roman" w:hAnsi="Times New Roman" w:cs="Times New Roman"/>
          <w:i/>
        </w:rPr>
      </w:pPr>
    </w:p>
    <w:p w14:paraId="72018CA3" w14:textId="77777777" w:rsidR="00483739"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i/>
          <w:sz w:val="24"/>
          <w:szCs w:val="24"/>
        </w:rPr>
        <w:t>Conduttrice</w:t>
      </w:r>
    </w:p>
    <w:p w14:paraId="407D46F2" w14:textId="77777777" w:rsidR="00483739"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Dott.ssa Tiziana </w:t>
      </w:r>
      <w:proofErr w:type="spellStart"/>
      <w:r>
        <w:rPr>
          <w:rFonts w:ascii="Times New Roman" w:eastAsia="Times New Roman" w:hAnsi="Times New Roman" w:cs="Times New Roman"/>
          <w:sz w:val="24"/>
          <w:szCs w:val="24"/>
        </w:rPr>
        <w:t>Scardilli</w:t>
      </w:r>
      <w:proofErr w:type="spellEnd"/>
      <w:r>
        <w:rPr>
          <w:rFonts w:ascii="Times New Roman" w:eastAsia="Times New Roman" w:hAnsi="Times New Roman" w:cs="Times New Roman"/>
          <w:sz w:val="24"/>
          <w:szCs w:val="24"/>
        </w:rPr>
        <w:t>, Fondazione Casa della Carità</w:t>
      </w:r>
    </w:p>
    <w:p w14:paraId="211783F6" w14:textId="77777777" w:rsidR="00483739" w:rsidRDefault="00483739">
      <w:pPr>
        <w:widowControl w:val="0"/>
        <w:spacing w:after="0" w:line="240" w:lineRule="auto"/>
        <w:rPr>
          <w:rFonts w:ascii="Times New Roman" w:eastAsia="Times New Roman" w:hAnsi="Times New Roman" w:cs="Times New Roman"/>
          <w:i/>
          <w:sz w:val="24"/>
          <w:szCs w:val="24"/>
        </w:rPr>
      </w:pPr>
    </w:p>
    <w:p w14:paraId="1E2E4A3D" w14:textId="77777777" w:rsidR="00483739" w:rsidRDefault="00483739">
      <w:pPr>
        <w:widowControl w:val="0"/>
        <w:spacing w:after="0" w:line="240" w:lineRule="auto"/>
        <w:rPr>
          <w:rFonts w:ascii="Times New Roman" w:eastAsia="Times New Roman" w:hAnsi="Times New Roman" w:cs="Times New Roman"/>
          <w:i/>
          <w:sz w:val="24"/>
          <w:szCs w:val="24"/>
        </w:rPr>
      </w:pPr>
    </w:p>
    <w:p w14:paraId="70E2BFC7" w14:textId="77777777" w:rsidR="00483739" w:rsidRDefault="00483739">
      <w:pPr>
        <w:widowControl w:val="0"/>
        <w:spacing w:after="0" w:line="240" w:lineRule="auto"/>
        <w:rPr>
          <w:rFonts w:ascii="Times New Roman" w:eastAsia="Times New Roman" w:hAnsi="Times New Roman" w:cs="Times New Roman"/>
          <w:i/>
          <w:sz w:val="24"/>
          <w:szCs w:val="24"/>
        </w:rPr>
      </w:pPr>
    </w:p>
    <w:p w14:paraId="45E42948" w14:textId="77777777" w:rsidR="00483739" w:rsidRDefault="00000000">
      <w:pPr>
        <w:widowControl w:val="0"/>
        <w:spacing w:after="0" w:line="276" w:lineRule="auto"/>
        <w:rPr>
          <w:rFonts w:ascii="Times New Roman" w:eastAsia="Times New Roman" w:hAnsi="Times New Roman" w:cs="Times New Roman"/>
          <w:i/>
          <w:sz w:val="24"/>
          <w:szCs w:val="24"/>
        </w:rPr>
      </w:pPr>
      <w:r>
        <w:rPr>
          <w:rFonts w:ascii="Times New Roman" w:eastAsia="Times New Roman" w:hAnsi="Times New Roman" w:cs="Times New Roman"/>
          <w:i/>
          <w:sz w:val="24"/>
          <w:szCs w:val="24"/>
        </w:rPr>
        <w:t>Partecipanti</w:t>
      </w:r>
    </w:p>
    <w:p w14:paraId="5D108FE3" w14:textId="77777777" w:rsidR="00483739"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Serena Di Sarno Giusto</w:t>
      </w:r>
    </w:p>
    <w:p w14:paraId="5F6CE469" w14:textId="77777777" w:rsidR="00483739"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Caterina Faravelli </w:t>
      </w:r>
    </w:p>
    <w:p w14:paraId="6F836E07" w14:textId="77777777" w:rsidR="00483739"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Elisa </w:t>
      </w:r>
      <w:proofErr w:type="spellStart"/>
      <w:r>
        <w:rPr>
          <w:rFonts w:ascii="Times New Roman" w:eastAsia="Times New Roman" w:hAnsi="Times New Roman" w:cs="Times New Roman"/>
          <w:sz w:val="24"/>
          <w:szCs w:val="24"/>
        </w:rPr>
        <w:t>Lussetti</w:t>
      </w:r>
      <w:proofErr w:type="spellEnd"/>
      <w:r>
        <w:rPr>
          <w:rFonts w:ascii="Times New Roman" w:eastAsia="Times New Roman" w:hAnsi="Times New Roman" w:cs="Times New Roman"/>
          <w:sz w:val="24"/>
          <w:szCs w:val="24"/>
        </w:rPr>
        <w:t xml:space="preserve"> </w:t>
      </w:r>
    </w:p>
    <w:p w14:paraId="2020F33D" w14:textId="77777777" w:rsidR="00483739"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Rebecca Marchi </w:t>
      </w:r>
    </w:p>
    <w:p w14:paraId="2B2025D5" w14:textId="77777777" w:rsidR="00483739"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Marouane </w:t>
      </w:r>
      <w:proofErr w:type="spellStart"/>
      <w:r>
        <w:rPr>
          <w:rFonts w:ascii="Times New Roman" w:eastAsia="Times New Roman" w:hAnsi="Times New Roman" w:cs="Times New Roman"/>
          <w:sz w:val="24"/>
          <w:szCs w:val="24"/>
        </w:rPr>
        <w:t>Massat</w:t>
      </w:r>
      <w:proofErr w:type="spellEnd"/>
    </w:p>
    <w:p w14:paraId="0B58187A" w14:textId="77777777" w:rsidR="00483739"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Marta Pianta </w:t>
      </w:r>
    </w:p>
    <w:p w14:paraId="4DAFA75C" w14:textId="77777777" w:rsidR="00483739"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Valentina Sosio </w:t>
      </w:r>
    </w:p>
    <w:p w14:paraId="66B4403F" w14:textId="77777777" w:rsidR="00483739" w:rsidRDefault="00000000">
      <w:pPr>
        <w:widowControl w:val="0"/>
        <w:spacing w:after="0" w:line="276"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Luciana Mirella </w:t>
      </w:r>
      <w:proofErr w:type="spellStart"/>
      <w:r>
        <w:rPr>
          <w:rFonts w:ascii="Times New Roman" w:eastAsia="Times New Roman" w:hAnsi="Times New Roman" w:cs="Times New Roman"/>
          <w:sz w:val="24"/>
          <w:szCs w:val="24"/>
        </w:rPr>
        <w:t>Soza</w:t>
      </w:r>
      <w:proofErr w:type="spellEnd"/>
      <w:r>
        <w:rPr>
          <w:rFonts w:ascii="Times New Roman" w:eastAsia="Times New Roman" w:hAnsi="Times New Roman" w:cs="Times New Roman"/>
          <w:sz w:val="24"/>
          <w:szCs w:val="24"/>
        </w:rPr>
        <w:t xml:space="preserve"> Herrera </w:t>
      </w:r>
    </w:p>
    <w:p w14:paraId="2C11AA32" w14:textId="77777777" w:rsidR="00483739" w:rsidRDefault="00483739">
      <w:pPr>
        <w:widowControl w:val="0"/>
        <w:spacing w:after="0" w:line="276" w:lineRule="auto"/>
        <w:rPr>
          <w:rFonts w:ascii="Times New Roman" w:eastAsia="Times New Roman" w:hAnsi="Times New Roman" w:cs="Times New Roman"/>
          <w:sz w:val="24"/>
          <w:szCs w:val="24"/>
        </w:rPr>
      </w:pPr>
    </w:p>
    <w:p w14:paraId="3CBB1CED" w14:textId="77777777" w:rsidR="00483739" w:rsidRDefault="00483739">
      <w:pPr>
        <w:widowControl w:val="0"/>
        <w:spacing w:after="0" w:line="276" w:lineRule="auto"/>
        <w:rPr>
          <w:rFonts w:ascii="Times New Roman" w:eastAsia="Times New Roman" w:hAnsi="Times New Roman" w:cs="Times New Roman"/>
          <w:sz w:val="24"/>
          <w:szCs w:val="24"/>
        </w:rPr>
      </w:pPr>
    </w:p>
    <w:p w14:paraId="715184FD" w14:textId="77777777" w:rsidR="00483739" w:rsidRDefault="00483739">
      <w:pPr>
        <w:rPr>
          <w:rFonts w:ascii="Times New Roman" w:eastAsia="Times New Roman" w:hAnsi="Times New Roman" w:cs="Times New Roman"/>
          <w:sz w:val="24"/>
          <w:szCs w:val="24"/>
        </w:rPr>
      </w:pPr>
    </w:p>
    <w:p w14:paraId="5F67D665" w14:textId="77777777" w:rsidR="00483739" w:rsidRDefault="00483739">
      <w:pPr>
        <w:rPr>
          <w:rFonts w:ascii="Times New Roman" w:eastAsia="Times New Roman" w:hAnsi="Times New Roman" w:cs="Times New Roman"/>
          <w:sz w:val="24"/>
          <w:szCs w:val="24"/>
        </w:rPr>
      </w:pPr>
    </w:p>
    <w:p w14:paraId="2D98BD87" w14:textId="77777777" w:rsidR="00483739" w:rsidRDefault="00483739">
      <w:pPr>
        <w:rPr>
          <w:rFonts w:ascii="Times New Roman" w:eastAsia="Times New Roman" w:hAnsi="Times New Roman" w:cs="Times New Roman"/>
          <w:sz w:val="24"/>
          <w:szCs w:val="24"/>
        </w:rPr>
      </w:pPr>
    </w:p>
    <w:p w14:paraId="57ABBFE7" w14:textId="77777777" w:rsidR="00483739" w:rsidRDefault="00483739">
      <w:pPr>
        <w:rPr>
          <w:rFonts w:ascii="Times New Roman" w:eastAsia="Times New Roman" w:hAnsi="Times New Roman" w:cs="Times New Roman"/>
          <w:sz w:val="24"/>
          <w:szCs w:val="24"/>
        </w:rPr>
      </w:pPr>
    </w:p>
    <w:p w14:paraId="72EDF547" w14:textId="77777777" w:rsidR="00483739" w:rsidRDefault="00483739">
      <w:pPr>
        <w:spacing w:after="0" w:line="360" w:lineRule="auto"/>
        <w:rPr>
          <w:rFonts w:ascii="Times New Roman" w:eastAsia="Times New Roman" w:hAnsi="Times New Roman" w:cs="Times New Roman"/>
          <w:sz w:val="24"/>
          <w:szCs w:val="24"/>
        </w:rPr>
      </w:pPr>
    </w:p>
    <w:p w14:paraId="2DE7A85E" w14:textId="77777777" w:rsidR="00483739" w:rsidRDefault="00483739">
      <w:pPr>
        <w:spacing w:after="0" w:line="360" w:lineRule="auto"/>
        <w:rPr>
          <w:rFonts w:ascii="Times New Roman" w:eastAsia="Times New Roman" w:hAnsi="Times New Roman" w:cs="Times New Roman"/>
          <w:b/>
          <w:sz w:val="24"/>
          <w:szCs w:val="24"/>
        </w:rPr>
      </w:pPr>
    </w:p>
    <w:p w14:paraId="2B32F67E" w14:textId="77777777" w:rsidR="00483739" w:rsidRDefault="00000000">
      <w:pPr>
        <w:spacing w:after="0"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I principali contenuti trattati durante il Workshop </w:t>
      </w:r>
    </w:p>
    <w:p w14:paraId="5D26F92B"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workshop si è svolto alla Fondazione Casa della Carità di Crescenzago, uno dei quartieri del Municipio 2 di Milano. L’ente è gestore di diversi servizi diurni e residenziali rivolti a soggetti con diverse fragilità: minori, mamme con bambini, anziani, senza tetto. In particolare, il seminario è stato condotto dalla dott.ssa Tiziana </w:t>
      </w:r>
      <w:proofErr w:type="spellStart"/>
      <w:r>
        <w:rPr>
          <w:rFonts w:ascii="Times New Roman" w:eastAsia="Times New Roman" w:hAnsi="Times New Roman" w:cs="Times New Roman"/>
          <w:sz w:val="24"/>
          <w:szCs w:val="24"/>
        </w:rPr>
        <w:t>Scardilli</w:t>
      </w:r>
      <w:proofErr w:type="spellEnd"/>
      <w:r>
        <w:rPr>
          <w:rFonts w:ascii="Times New Roman" w:eastAsia="Times New Roman" w:hAnsi="Times New Roman" w:cs="Times New Roman"/>
          <w:sz w:val="24"/>
          <w:szCs w:val="24"/>
        </w:rPr>
        <w:t xml:space="preserve">, coordinatrice dell’alloggio per la semi-autonomia mamma - bambino e con il contributo della dott.ssa </w:t>
      </w:r>
      <w:proofErr w:type="spellStart"/>
      <w:r>
        <w:rPr>
          <w:rFonts w:ascii="Times New Roman" w:eastAsia="Times New Roman" w:hAnsi="Times New Roman" w:cs="Times New Roman"/>
          <w:sz w:val="24"/>
          <w:szCs w:val="24"/>
        </w:rPr>
        <w:t>Oumou</w:t>
      </w:r>
      <w:proofErr w:type="spellEnd"/>
      <w:r>
        <w:rPr>
          <w:rFonts w:ascii="Times New Roman" w:eastAsia="Times New Roman" w:hAnsi="Times New Roman" w:cs="Times New Roman"/>
          <w:sz w:val="24"/>
          <w:szCs w:val="24"/>
        </w:rPr>
        <w:t xml:space="preserve"> Niang, educatrice della stessa struttura.</w:t>
      </w:r>
    </w:p>
    <w:p w14:paraId="3B31C5B5"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Il macrotema del workshop a cui abbiamo partecipato è stato quello di riflettere sulle differenze e sulle diversità che possiamo incontrare in un contesto educativo, (sia all’interno dell’équipe o, più in generale, nell’ambiente di lavoro) come quelle culturali e/o personali. Entrambe, infatti, incidono sull’identità del gruppo di lavoro e sulle sue modalità di intervento. </w:t>
      </w:r>
    </w:p>
    <w:p w14:paraId="7F7A777C"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proposta del seminario è stata quella di cercare di de-costruire e di riflettere collettivamente sui preconcetti che riguardano i temi della multiculturalità e della multietnicità attraverso una partecipazione attiva del gruppo di lavoro, resa attuabile da varie attività che ci hanno dato la possibilità di esplorare e vivere le dinamiche che si possono creare all’interno dell’équipe.</w:t>
      </w:r>
    </w:p>
    <w:p w14:paraId="1846BBDF"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conduttrice, in prima battuta, ha descritto la filosofia della struttura e quindi la cultura di lavoro del servizio come un metodo “</w:t>
      </w:r>
      <w:r>
        <w:rPr>
          <w:rFonts w:ascii="Times New Roman" w:eastAsia="Times New Roman" w:hAnsi="Times New Roman" w:cs="Times New Roman"/>
          <w:i/>
          <w:sz w:val="24"/>
          <w:szCs w:val="24"/>
        </w:rPr>
        <w:t>freestyle</w:t>
      </w:r>
      <w:r>
        <w:rPr>
          <w:rFonts w:ascii="Times New Roman" w:eastAsia="Times New Roman" w:hAnsi="Times New Roman" w:cs="Times New Roman"/>
          <w:sz w:val="24"/>
          <w:szCs w:val="24"/>
        </w:rPr>
        <w:t>”, il quale è stato applicato anche durante le attività della giornata. Questo approccio ha valorizzato le differenti peculiarità del gruppo, incentivando la fiducia, sviluppando la capacità di ascolto e creando nuove possibilità. Tale metodo permette di creare uno spazio in cui ognuno possa portare il proprio sguardo e le proprie conoscenze ed esperienze, senza un’eccessiva linearità dei processi e dei metodi utilizzati. Ciò ovviamente non significa che non ci sia una progettazione o un pensiero costante sulle pratiche e sulle proposte, ma si cerca allo stesso tempo di essere flessibili e con una coerenza interna per affrontare al meglio una realtà complessa e composta da visioni differenti.</w:t>
      </w:r>
    </w:p>
    <w:p w14:paraId="6CA21C2C"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Nel servizio, questa metodologia lavorativa viene sostenuta dalla scelta di avere un momento di "Altra visione" (oltre alla “classica” supervisione che viene svolta una volta al mese) e di condivisione con un’équipe multidisciplinare, dove sono presenti quindi anche uno psichiatra e un medico, interni alla struttura, che periodicamente sostengono l’équipe apportando altri approcci e arricchendo, quindi, la visione degli operatori. </w:t>
      </w:r>
    </w:p>
    <w:p w14:paraId="221FACBC" w14:textId="16C822B9"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Un altro aspetto importante </w:t>
      </w:r>
      <w:r w:rsidR="003D7C60">
        <w:rPr>
          <w:rFonts w:ascii="Times New Roman" w:eastAsia="Times New Roman" w:hAnsi="Times New Roman" w:cs="Times New Roman"/>
          <w:sz w:val="24"/>
          <w:szCs w:val="24"/>
        </w:rPr>
        <w:t>che è emerso e che accomuna i temi che abbiamo trattato e sperimentato</w:t>
      </w:r>
      <w:r>
        <w:rPr>
          <w:rFonts w:ascii="Times New Roman" w:eastAsia="Times New Roman" w:hAnsi="Times New Roman" w:cs="Times New Roman"/>
          <w:sz w:val="24"/>
          <w:szCs w:val="24"/>
        </w:rPr>
        <w:t xml:space="preserve"> è stato sicuramente quello dell’ascolto attivo. La conduttrice del workshop ha sottolineato ripetutamente l’importanza di svilupparlo e promuoverlo, sia con i colleghi, sia con gli ospiti. Infatti, la dott.ssa </w:t>
      </w:r>
      <w:proofErr w:type="spellStart"/>
      <w:r>
        <w:rPr>
          <w:rFonts w:ascii="Times New Roman" w:eastAsia="Times New Roman" w:hAnsi="Times New Roman" w:cs="Times New Roman"/>
          <w:sz w:val="24"/>
          <w:szCs w:val="24"/>
        </w:rPr>
        <w:t>Scardilli</w:t>
      </w:r>
      <w:proofErr w:type="spellEnd"/>
      <w:r>
        <w:rPr>
          <w:rFonts w:ascii="Times New Roman" w:eastAsia="Times New Roman" w:hAnsi="Times New Roman" w:cs="Times New Roman"/>
          <w:sz w:val="24"/>
          <w:szCs w:val="24"/>
        </w:rPr>
        <w:t xml:space="preserve"> ci ha spiegato più volte quanto sia importante il fatto di coordinarsi tra gli operatori e gli ospiti, definendo fin da subito che “nessuno lavora per nessuno” ma che “l’équipe lavora </w:t>
      </w:r>
      <w:r>
        <w:rPr>
          <w:rFonts w:ascii="Times New Roman" w:eastAsia="Times New Roman" w:hAnsi="Times New Roman" w:cs="Times New Roman"/>
          <w:i/>
          <w:sz w:val="24"/>
          <w:szCs w:val="24"/>
        </w:rPr>
        <w:t>con</w:t>
      </w:r>
      <w:r>
        <w:rPr>
          <w:rFonts w:ascii="Times New Roman" w:eastAsia="Times New Roman" w:hAnsi="Times New Roman" w:cs="Times New Roman"/>
          <w:sz w:val="24"/>
          <w:szCs w:val="24"/>
        </w:rPr>
        <w:t xml:space="preserve"> gli utenti”, in funzione di un’</w:t>
      </w:r>
      <w:r>
        <w:rPr>
          <w:rFonts w:ascii="Times New Roman" w:eastAsia="Times New Roman" w:hAnsi="Times New Roman" w:cs="Times New Roman"/>
          <w:i/>
          <w:sz w:val="24"/>
          <w:szCs w:val="24"/>
        </w:rPr>
        <w:t xml:space="preserve">agency </w:t>
      </w:r>
      <w:r>
        <w:rPr>
          <w:rFonts w:ascii="Times New Roman" w:eastAsia="Times New Roman" w:hAnsi="Times New Roman" w:cs="Times New Roman"/>
          <w:sz w:val="24"/>
          <w:szCs w:val="24"/>
        </w:rPr>
        <w:t xml:space="preserve">partecipata e attiva. Attraverso le esperienze che ci sono state </w:t>
      </w:r>
      <w:r>
        <w:rPr>
          <w:rFonts w:ascii="Times New Roman" w:eastAsia="Times New Roman" w:hAnsi="Times New Roman" w:cs="Times New Roman"/>
          <w:sz w:val="24"/>
          <w:szCs w:val="24"/>
        </w:rPr>
        <w:lastRenderedPageBreak/>
        <w:t>proposte, abbiamo potuto notare come ci siano diverse possibilità per prendere in carico le questioni e le dinamiche che si creano durante un momento di condivisione, come quello di équipe. Di conseguenza, è stato possibile riflettere sulle molteplicità dei metodi che si possono adottare e sulle loro differenze, proprio a partire dalla eterogeneità dei vissuti personali e dei modi di concepire le esperienze proposte. Infatti, abbiamo potuto osservare quanto sia una questione di scelta, per esempio, quella di coordinare un'équipe con un metodo “a-metodico” piuttosto che con un altro; eventuali precisazioni su questa metodologia verranno affrontate più avanti. Questo approccio valorizza la persona, riconoscendo non solo la sua professionalità ma anche e soprattutto la sua umanità, facendo cadere la maschera dell’educatore perfetto “che tutto può” e lo stesso per la figura di coordinatrice-supereroina che sa e deve risolvere tutto.</w:t>
      </w:r>
    </w:p>
    <w:p w14:paraId="34327FBD"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conduttrice del workshop ha definito più volte l’importanza dell’</w:t>
      </w:r>
      <w:r>
        <w:rPr>
          <w:rFonts w:ascii="Times New Roman" w:eastAsia="Times New Roman" w:hAnsi="Times New Roman" w:cs="Times New Roman"/>
          <w:i/>
          <w:sz w:val="24"/>
          <w:szCs w:val="24"/>
        </w:rPr>
        <w:t>empowerment</w:t>
      </w:r>
      <w:r>
        <w:rPr>
          <w:rFonts w:ascii="Times New Roman" w:eastAsia="Times New Roman" w:hAnsi="Times New Roman" w:cs="Times New Roman"/>
          <w:sz w:val="24"/>
          <w:szCs w:val="24"/>
        </w:rPr>
        <w:t xml:space="preserve"> e</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della consapevolezza di sé e degli altri, in riferimento alla complessità di un lavoro che sa sconvolgere, ma anche arricchire, se si ha il coraggio di mettersi in gioco.</w:t>
      </w:r>
    </w:p>
    <w:p w14:paraId="105B4E87"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chiave del coordinamento, quindi, è nella relazione stessa con l’Altro; è nell’accogliere e notare il “miracolo” delle differenze, che possono sì atterrire ma anche salvare, per poter procedere verso nuovi orizzonti di pensiero di cui prendersi cura, insieme, in un’ottica attiva e partecipata. Coordinare, quindi, per poter essere un filo rosso tra gli operatori e gli ospiti. Cercando di mettere la persona, le parole e il dialogo al primo posto; senza dimenticare che siamo noi il nostro primo strumento di lavoro, che può rendere liberi o imprigionare gli altri dal nostro ruolo.</w:t>
      </w:r>
    </w:p>
    <w:p w14:paraId="19E054DB" w14:textId="77777777" w:rsidR="00483739" w:rsidRDefault="00000000">
      <w:pPr>
        <w:spacing w:line="36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br/>
      </w:r>
      <w:r>
        <w:rPr>
          <w:rFonts w:ascii="Times New Roman" w:eastAsia="Times New Roman" w:hAnsi="Times New Roman" w:cs="Times New Roman"/>
          <w:b/>
          <w:sz w:val="24"/>
          <w:szCs w:val="24"/>
        </w:rPr>
        <w:t xml:space="preserve">La metodologia utilizzata </w:t>
      </w:r>
    </w:p>
    <w:p w14:paraId="4E2417CB"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 occasione del workshop abbiamo avuto la possibilità di utilizzare un locale che solitamente è adibito ad auditorium, per questo sono presenti un palco, alcune file di sedie, un pianoforte, dei tavoli e un telo per le proiezioni.</w:t>
      </w:r>
    </w:p>
    <w:p w14:paraId="59B1B677" w14:textId="7BDB9094" w:rsidR="00483739" w:rsidRDefault="00000000">
      <w:pPr>
        <w:spacing w:after="0" w:line="360" w:lineRule="auto"/>
        <w:jc w:val="both"/>
        <w:rPr>
          <w:rFonts w:ascii="Times New Roman" w:eastAsia="Times New Roman" w:hAnsi="Times New Roman" w:cs="Times New Roman"/>
          <w:b/>
          <w:sz w:val="24"/>
          <w:szCs w:val="24"/>
        </w:rPr>
      </w:pPr>
      <w:bookmarkStart w:id="0" w:name="_heading=h.30j0zll" w:colFirst="0" w:colLast="0"/>
      <w:bookmarkEnd w:id="0"/>
      <w:r>
        <w:rPr>
          <w:rFonts w:ascii="Times New Roman" w:eastAsia="Times New Roman" w:hAnsi="Times New Roman" w:cs="Times New Roman"/>
          <w:sz w:val="24"/>
          <w:szCs w:val="24"/>
        </w:rPr>
        <w:t xml:space="preserve">L’auditorium è intitolato a Teresa Pomodoro, nome della drammaturga e attrice milanese che, come si apprende dal sito </w:t>
      </w:r>
      <w:r>
        <w:rPr>
          <w:rFonts w:ascii="Times New Roman" w:eastAsia="Times New Roman" w:hAnsi="Times New Roman" w:cs="Times New Roman"/>
          <w:i/>
          <w:sz w:val="24"/>
          <w:szCs w:val="24"/>
        </w:rPr>
        <w:t>“ha collaborato con la Casa della Carità proponendo laboratori teatrali dedicati agli ospiti e organizzando spettacoli che li coinvolgevano e li vedevano protagonisti”</w:t>
      </w:r>
      <w:r>
        <w:rPr>
          <w:rFonts w:ascii="Times New Roman" w:eastAsia="Times New Roman" w:hAnsi="Times New Roman" w:cs="Times New Roman"/>
          <w:i/>
          <w:sz w:val="24"/>
          <w:szCs w:val="24"/>
          <w:vertAlign w:val="superscript"/>
        </w:rPr>
        <w:footnoteReference w:id="1"/>
      </w:r>
      <w:r>
        <w:rPr>
          <w:rFonts w:ascii="Times New Roman" w:eastAsia="Times New Roman" w:hAnsi="Times New Roman" w:cs="Times New Roman"/>
          <w:sz w:val="24"/>
          <w:szCs w:val="24"/>
        </w:rPr>
        <w:t>. Alcune di queste attività si sono svolte proprio in questo spazio, a lei viene riconosciuto di aver lasciato “</w:t>
      </w:r>
      <w:r>
        <w:rPr>
          <w:rFonts w:ascii="Times New Roman" w:eastAsia="Times New Roman" w:hAnsi="Times New Roman" w:cs="Times New Roman"/>
          <w:i/>
          <w:sz w:val="24"/>
          <w:szCs w:val="24"/>
        </w:rPr>
        <w:t>un’impronta importante: il valore della bellezza, per tutti; della cultura come elemento fondamentale”</w:t>
      </w:r>
      <w:r>
        <w:rPr>
          <w:rFonts w:ascii="Times New Roman" w:eastAsia="Times New Roman" w:hAnsi="Times New Roman" w:cs="Times New Roman"/>
          <w:i/>
          <w:sz w:val="24"/>
          <w:szCs w:val="24"/>
          <w:vertAlign w:val="superscript"/>
        </w:rPr>
        <w:footnoteReference w:id="2"/>
      </w:r>
      <w:r>
        <w:rPr>
          <w:rFonts w:ascii="Times New Roman" w:eastAsia="Times New Roman" w:hAnsi="Times New Roman" w:cs="Times New Roman"/>
          <w:i/>
          <w:sz w:val="24"/>
          <w:szCs w:val="24"/>
        </w:rPr>
        <w:t xml:space="preserve">. </w:t>
      </w:r>
    </w:p>
    <w:p w14:paraId="11B1C667"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Il palco ospitava un tavolo ovale a cui sono state aggiunte un numero di sedie sufficienti per i partecipanti e le conduttrici. Il tavolo è stato imbandito con bevande, salatini e dolcetti per accoglierci e condividere un momento informale di conoscenza prima di iniziare i lavori.</w:t>
      </w:r>
    </w:p>
    <w:p w14:paraId="6C1528B8"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Le metodologie messe in campo durante la giornata di workshop dalla conduttrice sono state differenti. Il setting è stato deciso a priori, caratterizzato da dieci sedie posizionate attorno al tavolo ovale. A partire dal setting durante la giornata si è costruito un clima di lavoro caratterizzato da condivisione e collaborazione. Questo è stato possibile grazie a una prima attività di presentazione in cui ci si è alternati a coppie diverse realizzando un “incontro tra storie” che ha consentito l’emergere di emozioni che abbiamo trascritto e condiviso in gruppo. L’attività si è svolta nello spazio sottostante il palco. L’organizzazione della stanza ha consentito a ciascuno di decidere come abitare lo spazio per simulare gli incontri a coppie, trovando una mediazione tra le proprie esigenze e quelle dell’interlocutore. Dopo ogni incontro abbiamo scritto su un foglio le emozioni provate. </w:t>
      </w:r>
    </w:p>
    <w:p w14:paraId="02C809BE"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Alla fine del giro di incontri siamo tornati a sederci intorno al tavolo dove le conduttrici hanno chiesto di raccontare le emozioni vissute. Per guidare e raccogliere questo processo riflessivo tre persone del gruppo hanno messo per iscritto ciò che è emerso.</w:t>
      </w:r>
    </w:p>
    <w:p w14:paraId="4F2A6AE8"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trascrizione è stata fatta su tre fogli diversi rappresentanti tre macro-aree: “le cose diverse che mi allontanano”, “le cose diverse che mi incuriosiscono”; “le cose in comune che mi rassicurano”. All’interno di queste 3 aree sono emerse le posture di ciascuno e il modo in cui queste si incontrano o si scontrano con le nostre. Alcune delle frasi emerse sono le seguenti: “rassicura il non saper dove andare; rassicura il fatto che gli altri abbiano paura come me”; mi incuriosisce il modo di iniziare le conversazioni e di presentarsi; mi incuriosiscono i contesti e i percorsi; mi incuriosisce il modo di presentarsi diverso dal proprio; mi allontanano le modalità di approcciarsi diverse; rapidità nella formazione del pregiudizio”.</w:t>
      </w:r>
    </w:p>
    <w:p w14:paraId="2954188E" w14:textId="4DC74A4B" w:rsidR="00483739" w:rsidRDefault="003D7C6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 seguito,</w:t>
      </w:r>
      <w:r w:rsidR="00000000">
        <w:rPr>
          <w:rFonts w:ascii="Times New Roman" w:eastAsia="Times New Roman" w:hAnsi="Times New Roman" w:cs="Times New Roman"/>
          <w:sz w:val="24"/>
          <w:szCs w:val="24"/>
        </w:rPr>
        <w:t xml:space="preserve"> è stata proposta dalle conduttrici in plenaria la lettura di due casi. Dopo la lettura del primo caso ci è stato chiesto di dividerci in due gruppi e di individuare le strategie di intervento per affrontare la situazione descritta. Il gruppo si è quindi diviso simulando il lavoro di due </w:t>
      </w:r>
      <w:r>
        <w:rPr>
          <w:rFonts w:ascii="Times New Roman" w:eastAsia="Times New Roman" w:hAnsi="Times New Roman" w:cs="Times New Roman"/>
          <w:sz w:val="24"/>
          <w:szCs w:val="24"/>
        </w:rPr>
        <w:t>équipe</w:t>
      </w:r>
      <w:r w:rsidR="00000000">
        <w:rPr>
          <w:rFonts w:ascii="Times New Roman" w:eastAsia="Times New Roman" w:hAnsi="Times New Roman" w:cs="Times New Roman"/>
          <w:sz w:val="24"/>
          <w:szCs w:val="24"/>
        </w:rPr>
        <w:t xml:space="preserve"> diverse. In questo lavoro di gruppo il setting spaziale è stato scelto dai partecipanti. Attraverso la simulazione abbiamo sperimentato un confronto attivo sulle problematiche emerse. I gruppi hanno lavorato in modo differente: in uno dei due la riflessione è stata libera, senza che emergesse un leader alla guida del processo, nell’altro invece è emersa la leadership di un membro del gruppo che è stata accettata e considerata utile.</w:t>
      </w:r>
    </w:p>
    <w:p w14:paraId="1A3EDB00" w14:textId="53EA010E"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Successivamente è stato letto il secondo caso e il gruppo si è diviso nuovamente formando due </w:t>
      </w:r>
      <w:r w:rsidR="003D7C60">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diverse dalle prime. Questa volta il lavoro all’interno dei gruppi è stato più difficoltoso, all’interno di entrambi non è stato facile per tutti far emergere il proprio contributo.</w:t>
      </w:r>
    </w:p>
    <w:p w14:paraId="7864598D" w14:textId="0E4C6E64"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Al termine dell’analisi dei casi ci si è confrontati sulla modalità del lavoro di </w:t>
      </w:r>
      <w:r w:rsidR="003D7C60">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ruoli impliciti ed espliciti, organizzazione del lavoro, approccio utilizzato, risultati raggiunti. Ci si è poi confrontati sul modo in cui si è svolta la discussione di gruppo, come ci siamo sentiti e come avremmo voluto trasformare il lavoro svolto.</w:t>
      </w:r>
    </w:p>
    <w:p w14:paraId="3CCC6C29"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Nel corso del lavoro abbiamo sperimentato ciò che il workshop prometteva: il “coordinamento di una équipe multiculturale e multietnica”. </w:t>
      </w:r>
    </w:p>
    <w:p w14:paraId="095E3724"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Sono emerse differenze nelle aspettative e nella formazione; modi diversi di leggere e approcciarsi ai casi e di utilizzare il tempo e lo spazio a disposizione all’interno dei gruppi di lavoro.  </w:t>
      </w:r>
    </w:p>
    <w:p w14:paraId="7E76162C"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coordinatrice ha </w:t>
      </w:r>
      <w:proofErr w:type="spellStart"/>
      <w:r>
        <w:rPr>
          <w:rFonts w:ascii="Times New Roman" w:eastAsia="Times New Roman" w:hAnsi="Times New Roman" w:cs="Times New Roman"/>
          <w:sz w:val="24"/>
          <w:szCs w:val="24"/>
        </w:rPr>
        <w:t>ri</w:t>
      </w:r>
      <w:proofErr w:type="spellEnd"/>
      <w:r>
        <w:rPr>
          <w:rFonts w:ascii="Times New Roman" w:eastAsia="Times New Roman" w:hAnsi="Times New Roman" w:cs="Times New Roman"/>
          <w:sz w:val="24"/>
          <w:szCs w:val="24"/>
        </w:rPr>
        <w:t xml:space="preserve">-progettato le attività della giornata a seconda della durata dei diversi momenti. </w:t>
      </w:r>
    </w:p>
    <w:p w14:paraId="133D9BBC"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La metodologia messa in campo dalle conduttrici ha permesso di far emergere le potenzialità del lavoro di gruppo, le difficoltà che si possono incontrare e come mettere in risalto le risorse di ciascuno. </w:t>
      </w:r>
    </w:p>
    <w:p w14:paraId="3D8C379D" w14:textId="77777777" w:rsidR="00483739" w:rsidRDefault="00000000">
      <w:pPr>
        <w:spacing w:after="0" w:line="360" w:lineRule="auto"/>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 xml:space="preserve">L’intero lavoro si è svolto secondo una logica di </w:t>
      </w:r>
      <w:r>
        <w:rPr>
          <w:rFonts w:ascii="Times New Roman" w:eastAsia="Times New Roman" w:hAnsi="Times New Roman" w:cs="Times New Roman"/>
          <w:i/>
          <w:sz w:val="24"/>
          <w:szCs w:val="24"/>
          <w:highlight w:val="white"/>
        </w:rPr>
        <w:t xml:space="preserve">collaborative learning </w:t>
      </w:r>
      <w:r>
        <w:rPr>
          <w:rFonts w:ascii="Times New Roman" w:eastAsia="Times New Roman" w:hAnsi="Times New Roman" w:cs="Times New Roman"/>
          <w:sz w:val="24"/>
          <w:szCs w:val="24"/>
          <w:highlight w:val="white"/>
        </w:rPr>
        <w:t>in base alla quale il ruolo del singolo nel gruppo può essere quello di leader, motivatore, mediatore, provocatore o altro ancora ed è un ruolo importante ma è certo che gli obiettivi di lavoro si raggiungono solo se ogni persona mette a disposizione del gruppo il proprio bagaglio personale, secondo un approccio collaborativo.</w:t>
      </w:r>
    </w:p>
    <w:p w14:paraId="473E6457" w14:textId="77777777" w:rsidR="00483739" w:rsidRDefault="00000000">
      <w:pPr>
        <w:spacing w:after="0" w:line="360" w:lineRule="auto"/>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highlight w:val="white"/>
        </w:rPr>
        <w:t>Bruner definisce l’apprendimento stesso come un processo collaborativo, che si realizza in uno spazio “</w:t>
      </w:r>
      <w:proofErr w:type="spellStart"/>
      <w:r>
        <w:rPr>
          <w:rFonts w:ascii="Times New Roman" w:eastAsia="Times New Roman" w:hAnsi="Times New Roman" w:cs="Times New Roman"/>
          <w:sz w:val="24"/>
          <w:szCs w:val="24"/>
          <w:highlight w:val="white"/>
        </w:rPr>
        <w:t>interpsichico</w:t>
      </w:r>
      <w:proofErr w:type="spellEnd"/>
      <w:r>
        <w:rPr>
          <w:rFonts w:ascii="Times New Roman" w:eastAsia="Times New Roman" w:hAnsi="Times New Roman" w:cs="Times New Roman"/>
          <w:sz w:val="24"/>
          <w:szCs w:val="24"/>
          <w:highlight w:val="white"/>
        </w:rPr>
        <w:t>” cioè in uno spazio interpersonale all’interno del quale si elaborano le competenze che, in un secondo momento, vengono trasformate sotto forma di pensiero secondo un percorso logico. “L’intelligenza non è, così, situata nella “testa” del soggetto, bensì è collocata in un contesto storico e culturale ed è distribuita negli strumenti culturali e nelle risorse umane presenti all’interno dello stesso contesto socio-culturale”</w:t>
      </w:r>
      <w:r>
        <w:rPr>
          <w:rFonts w:ascii="Times New Roman" w:eastAsia="Times New Roman" w:hAnsi="Times New Roman" w:cs="Times New Roman"/>
          <w:sz w:val="24"/>
          <w:szCs w:val="24"/>
          <w:highlight w:val="white"/>
          <w:vertAlign w:val="superscript"/>
        </w:rPr>
        <w:footnoteReference w:id="3"/>
      </w:r>
      <w:r>
        <w:rPr>
          <w:rFonts w:ascii="Times New Roman" w:eastAsia="Times New Roman" w:hAnsi="Times New Roman" w:cs="Times New Roman"/>
          <w:sz w:val="24"/>
          <w:szCs w:val="24"/>
          <w:highlight w:val="white"/>
        </w:rPr>
        <w:t>.</w:t>
      </w:r>
    </w:p>
    <w:p w14:paraId="3F9C436F" w14:textId="6D5BA96C"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Durante la giornata è stata inoltre sottolineata l’importanza dell’ascolto come strumento indispensabile per l’educatore e il coordinatore. Solo attraverso l’ascolto si possono cogliere e accogliere istanze, difficoltà e risorse delle persone e degli operatori. Operazione che diventa possibile solo se si è dato spazio all’ascolto e alla comprensione di se </w:t>
      </w:r>
      <w:r w:rsidR="003D7C60">
        <w:rPr>
          <w:rFonts w:ascii="Times New Roman" w:eastAsia="Times New Roman" w:hAnsi="Times New Roman" w:cs="Times New Roman"/>
          <w:sz w:val="24"/>
          <w:szCs w:val="24"/>
        </w:rPr>
        <w:t>stessi, delle</w:t>
      </w:r>
      <w:r>
        <w:rPr>
          <w:rFonts w:ascii="Times New Roman" w:eastAsia="Times New Roman" w:hAnsi="Times New Roman" w:cs="Times New Roman"/>
          <w:sz w:val="24"/>
          <w:szCs w:val="24"/>
        </w:rPr>
        <w:t xml:space="preserve"> proprie emozioni e sensazioni, delle proprie difficoltà e della propria forza. </w:t>
      </w:r>
    </w:p>
    <w:p w14:paraId="68D3CD64" w14:textId="77777777" w:rsidR="00483739" w:rsidRDefault="00483739">
      <w:pPr>
        <w:spacing w:line="360" w:lineRule="auto"/>
        <w:rPr>
          <w:rFonts w:ascii="Times New Roman" w:eastAsia="Times New Roman" w:hAnsi="Times New Roman" w:cs="Times New Roman"/>
          <w:b/>
          <w:sz w:val="24"/>
          <w:szCs w:val="24"/>
        </w:rPr>
      </w:pPr>
    </w:p>
    <w:p w14:paraId="207B6DE4" w14:textId="7EB911B6" w:rsidR="00483739" w:rsidRDefault="00000000">
      <w:pPr>
        <w:spacing w:after="0" w:line="360" w:lineRule="auto"/>
        <w:rPr>
          <w:rFonts w:ascii="Times New Roman" w:eastAsia="Times New Roman" w:hAnsi="Times New Roman" w:cs="Times New Roman"/>
          <w:sz w:val="24"/>
          <w:szCs w:val="24"/>
        </w:rPr>
      </w:pPr>
      <w:r>
        <w:rPr>
          <w:rFonts w:ascii="Times New Roman" w:eastAsia="Times New Roman" w:hAnsi="Times New Roman" w:cs="Times New Roman"/>
          <w:b/>
          <w:sz w:val="24"/>
          <w:szCs w:val="24"/>
        </w:rPr>
        <w:t>Gli aspetti teorici che sostengono quanto affrontato</w:t>
      </w:r>
      <w:r>
        <w:rPr>
          <w:rFonts w:ascii="Times New Roman" w:eastAsia="Times New Roman" w:hAnsi="Times New Roman" w:cs="Times New Roman"/>
          <w:sz w:val="24"/>
          <w:szCs w:val="24"/>
        </w:rPr>
        <w:br/>
        <w:t xml:space="preserve">Il coordinamento che caratterizza il servizio di comunità mamma-bambino è di tipo interno, questo significa che la coordinatrice ha un doppio ruolo: uno operativo di primo livello, come educatrice, a </w:t>
      </w:r>
      <w:r>
        <w:rPr>
          <w:rFonts w:ascii="Times New Roman" w:eastAsia="Times New Roman" w:hAnsi="Times New Roman" w:cs="Times New Roman"/>
          <w:sz w:val="24"/>
          <w:szCs w:val="24"/>
        </w:rPr>
        <w:lastRenderedPageBreak/>
        <w:t>contatto con le ospiti e i loro figli, ed uno di secondo livello, come figura di riferimento dell’</w:t>
      </w:r>
      <w:r w:rsidR="003D7C60">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Questo secondo ruolo racchiude molte funzioni: organizzazione, mediazione, progettazione, presa di decisioni, delegazione dei compiti, osservazione e monitoraggio del servizio.</w:t>
      </w:r>
    </w:p>
    <w:p w14:paraId="3A338145"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Come abbiamo visto durante i primi incontri del TFO e anche nel corso di “Coordinamento dei Servizi Educativi”, può capitare che, nella pratica, il ruolo e le funzioni non siano ben definiti o percepite. La teoria ci indica che con funzioni si intendono le azioni o compiti che vengono svolti, mentre il ruolo è la posizione gerarchica che viene affidata. È di fondamentale importanza essere consapevoli del proprio ruolo, delle proprie funzioni e che questi siano chiari per tutti gli interlocutori (ospiti e colleghi) per poter svolgere il lavoro di coordinamento al meglio, soprattutto quando c’è una sovrapposizione tra primo e secondo livello.</w:t>
      </w:r>
    </w:p>
    <w:p w14:paraId="64F30BCE" w14:textId="43BD59BE"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difficoltà di gestione dei compiti e delle dinamiche di un’</w:t>
      </w:r>
      <w:r w:rsidR="003D7C60">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aumenta se il tipo di coordinamento è interno, in quanto questa modalità implica necessariamente il mettersi in relazione, sia come collega che come superiore, portando sempre il proprio punto di vista soggettivo. Averne consapevolezza è fondamentale. Difficoltà analoghe si presentano anche nei confronti delle ospiti. Ciononostante, durante il workshop, abbiamo appreso come, in questo servizio, l’esser parte di un gruppo come coordinatrice operativa sia visto soprattutto come una risorsa.</w:t>
      </w:r>
    </w:p>
    <w:p w14:paraId="5B18D293"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È stata posta l’attenzione sull’importanza della cura delle relazioni, sia con ogni collega educatrice che con le ospiti, sottolineando che “il lavoro è con loro e non per loro”, per creare le condizioni per la costruzione partecipata/condivisa di uno spazio di scambio educativo, in cui ognuno possa esprimersi in maniera autentica e permettere di moltiplicare gli sguardi</w:t>
      </w:r>
      <w:r>
        <w:rPr>
          <w:rFonts w:ascii="Times New Roman" w:eastAsia="Times New Roman" w:hAnsi="Times New Roman" w:cs="Times New Roman"/>
          <w:sz w:val="24"/>
          <w:szCs w:val="24"/>
          <w:vertAlign w:val="superscript"/>
        </w:rPr>
        <w:footnoteReference w:id="4"/>
      </w:r>
      <w:r>
        <w:rPr>
          <w:rFonts w:ascii="Times New Roman" w:eastAsia="Times New Roman" w:hAnsi="Times New Roman" w:cs="Times New Roman"/>
          <w:sz w:val="24"/>
          <w:szCs w:val="24"/>
        </w:rPr>
        <w:t>.</w:t>
      </w:r>
    </w:p>
    <w:p w14:paraId="62532B17"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Per poter fare ciò, la coordinatrice sceglie di adottare uno stile di leadership e una gestione “free style” non lineare, in cui le direzioni d’intervento non vengono imposte ma maturate dal gruppo di lavoro, avendo in mente il percorso di ogni ospite ma anche i propri limiti. Alle educatrici vengono delegate responsabilità, in modo da consentirne l’empowerment e la crescita. Tale gestione richiede che si crei un clima di fiducia, e che le scelte siano negoziabili. Dalla teoria questo “free style” ci suggerisce il “metodo a-metodico”</w:t>
      </w:r>
      <w:r>
        <w:rPr>
          <w:rFonts w:ascii="Times New Roman" w:eastAsia="Times New Roman" w:hAnsi="Times New Roman" w:cs="Times New Roman"/>
          <w:sz w:val="24"/>
          <w:szCs w:val="24"/>
          <w:vertAlign w:val="superscript"/>
        </w:rPr>
        <w:footnoteReference w:id="5"/>
      </w:r>
      <w:r>
        <w:rPr>
          <w:rFonts w:ascii="Times New Roman" w:eastAsia="Times New Roman" w:hAnsi="Times New Roman" w:cs="Times New Roman"/>
          <w:sz w:val="24"/>
          <w:szCs w:val="24"/>
        </w:rPr>
        <w:t>, in quanto non segue un approccio rigido né lineare, ma prende forma “strada facendo” in modo flessibile e aperto. </w:t>
      </w:r>
    </w:p>
    <w:p w14:paraId="2BA8FB75" w14:textId="07B28CEE"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L’empowerment delle educatrici, avviene anche attraverso un tipo di coordinamento che richiama la “consulenza di processo”, perché mira a rafforzare l’autonomia, la capacità decisionale e la presa di responsabilità. La coordinatrice gioca un ruolo di facilitatrice, aiutando l’</w:t>
      </w:r>
      <w:r w:rsidR="003D7C60">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a riflettere sulle proprie azioni e decisioni, promuovendo l’apprendimento e lo sviluppo di capacità attraverso la </w:t>
      </w:r>
      <w:r>
        <w:rPr>
          <w:rFonts w:ascii="Times New Roman" w:eastAsia="Times New Roman" w:hAnsi="Times New Roman" w:cs="Times New Roman"/>
          <w:sz w:val="24"/>
          <w:szCs w:val="24"/>
        </w:rPr>
        <w:lastRenderedPageBreak/>
        <w:t>partecipazione attiva. Quando una problematica divisiva emerge, la coordinatrice non fornisce le soluzioni ma aiuta le educatrici nel percorso, supportando la consapevolezza e l’autonomia dell’</w:t>
      </w:r>
      <w:r w:rsidR="003D7C60">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w:t>
      </w:r>
    </w:p>
    <w:p w14:paraId="0CC372C7" w14:textId="79EBA00E"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 approccio simile viene seguito nel lavoro con le ospiti. Nel percorso volto al raggiungimento dell’autonomia si presta attenzione a non porsi in posizione di superiorità né generazionale né culturale nei loro confronti, partendo dal presupposto che tutti siamo diversi e portatori di una storia unica che ci contraddistingue; dobbiamo quindi porci in ascolto attivo. Le strategie e gli strumenti a disposizione dell’</w:t>
      </w:r>
      <w:r w:rsidR="003D7C60">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vengono utilizzati in modo da favorire “mondi possibili”. Solo così è possibile supportare un percorso che non sia frutto di coercizione ma di consapevolezza.  </w:t>
      </w:r>
    </w:p>
    <w:p w14:paraId="4116E368"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La coordinatrice ha assunto una postura dialogica, di osservazione, confronto, ascolto e riflessione anche con noi studenti e studentesse durante il workshop; mettendosi a disposizione per scambi informali e dedicandoci alcuni momenti per darci spunti e sguardi impensati sui temi emersi nel processo. Siamo stati aiutati a porre attenzione alle emozioni, aspetto da non sottovalutare in quanto incide fortemente nel nostro agire professionale. Lo scambio avuto, che ha toccato tutti gli aspetti fin qui descritti in modo non lineare, voleva mettere alla luce la difficoltà di “coordinare le differenze” e quanto sia importante sviluppare le competenze che permettano di mettere insieme, negoziare e capire queste differenze (culturali e non) sul campo di lavoro. </w:t>
      </w:r>
    </w:p>
    <w:p w14:paraId="261EDF94"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 ultima dimensione che è necessario menzionare riguarda i confini. Per svolgere un ruolo di coordinamento con coerenza bisogna tener conto dei vincoli e dei mandati a cui questa figura è sottoposta. Nel caso della comunità mamma-bambino, la coordinatrice può adottare una gestione “free style” con le sue determinate caratteristiche in quanto essa è condivisa dall’ente a cui lei deve far riferimento e da cui lei riceve il mandato. </w:t>
      </w:r>
    </w:p>
    <w:p w14:paraId="0973FF98" w14:textId="77777777" w:rsidR="00483739" w:rsidRDefault="00483739">
      <w:pPr>
        <w:spacing w:after="0" w:line="360" w:lineRule="auto"/>
        <w:jc w:val="both"/>
        <w:rPr>
          <w:rFonts w:ascii="Times New Roman" w:eastAsia="Times New Roman" w:hAnsi="Times New Roman" w:cs="Times New Roman"/>
          <w:sz w:val="24"/>
          <w:szCs w:val="24"/>
        </w:rPr>
      </w:pPr>
    </w:p>
    <w:p w14:paraId="422120FE"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Alcune connessioni con le conoscenze esplorate durante il percorso formativo del Corso di Laurea Magistrale in Scienze Pedagogiche</w:t>
      </w:r>
    </w:p>
    <w:p w14:paraId="0BFB81A6"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L’ultima parte di questa scrittura condivisa andrà a indagare le connessioni tra quello che è stato trattato durante il workshop e quello che abbiamo appreso durante il nostro percorso universitario.</w:t>
      </w:r>
    </w:p>
    <w:p w14:paraId="4AA97AD2" w14:textId="17476246"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Nel racconto della costruzione e del lavoro dell’</w:t>
      </w:r>
      <w:r w:rsidR="003D7C60">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è sorto spontaneo il rimando al concetto di comunità di pratica coniato da E. Wenger e J. </w:t>
      </w:r>
      <w:proofErr w:type="spellStart"/>
      <w:r>
        <w:rPr>
          <w:rFonts w:ascii="Times New Roman" w:eastAsia="Times New Roman" w:hAnsi="Times New Roman" w:cs="Times New Roman"/>
          <w:sz w:val="24"/>
          <w:szCs w:val="24"/>
        </w:rPr>
        <w:t>Leave</w:t>
      </w:r>
      <w:proofErr w:type="spellEnd"/>
      <w:r>
        <w:rPr>
          <w:rFonts w:ascii="Times New Roman" w:eastAsia="Times New Roman" w:hAnsi="Times New Roman" w:cs="Times New Roman"/>
          <w:sz w:val="24"/>
          <w:szCs w:val="24"/>
        </w:rPr>
        <w:t xml:space="preserve"> nel 1987. In questo tipo di comunità c’è la libertà e la possibilità di dire quello che si pensa ed è un luogo in cui si può dire la verità su cose che si ritengono non funzionare.</w:t>
      </w:r>
      <w:r>
        <w:rPr>
          <w:rFonts w:ascii="Times New Roman" w:eastAsia="Times New Roman" w:hAnsi="Times New Roman" w:cs="Times New Roman"/>
          <w:sz w:val="24"/>
          <w:szCs w:val="24"/>
          <w:vertAlign w:val="superscript"/>
        </w:rPr>
        <w:footnoteReference w:id="6"/>
      </w:r>
      <w:r>
        <w:rPr>
          <w:rFonts w:ascii="Times New Roman" w:eastAsia="Times New Roman" w:hAnsi="Times New Roman" w:cs="Times New Roman"/>
          <w:sz w:val="24"/>
          <w:szCs w:val="24"/>
        </w:rPr>
        <w:t>  Infatti le critiche e i conflitti non sono qualcosa da evitare, ma un’occasione di crescita e confronto tra membri dell’</w:t>
      </w:r>
      <w:r w:rsidR="003D7C60">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La coordinatrice ha sottolineato come </w:t>
      </w:r>
      <w:r>
        <w:rPr>
          <w:rFonts w:ascii="Times New Roman" w:eastAsia="Times New Roman" w:hAnsi="Times New Roman" w:cs="Times New Roman"/>
          <w:sz w:val="24"/>
          <w:szCs w:val="24"/>
        </w:rPr>
        <w:lastRenderedPageBreak/>
        <w:t xml:space="preserve">sia importante esplicitare i propri pregiudizi prima di iniziare un lavoro di </w:t>
      </w:r>
      <w:r w:rsidR="003D7C60">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altrimenti questi potrebbero interferire con le dinamiche che si vengono a creare inevitabilmente. Al fine di poter favorire l’inizio di un processo condiviso è fondamentale anche la negoziazione di significati infatti “il significato non esiste né in noi né nel mondo, ma in quella relazione dinamica che è il vivere nel mondo”</w:t>
      </w:r>
      <w:r>
        <w:rPr>
          <w:rFonts w:ascii="Times New Roman" w:eastAsia="Times New Roman" w:hAnsi="Times New Roman" w:cs="Times New Roman"/>
          <w:sz w:val="24"/>
          <w:szCs w:val="24"/>
          <w:vertAlign w:val="superscript"/>
        </w:rPr>
        <w:footnoteReference w:id="7"/>
      </w:r>
      <w:r>
        <w:rPr>
          <w:rFonts w:ascii="Times New Roman" w:eastAsia="Times New Roman" w:hAnsi="Times New Roman" w:cs="Times New Roman"/>
          <w:sz w:val="24"/>
          <w:szCs w:val="24"/>
        </w:rPr>
        <w:t>. Wenger afferma che la parola comunità connota un ambiente privo di rapporti di potere, ma in realtà questi rapporti ci sono. Questo è esplicitato dal fatto che la conduzione del workshop è stata tenuta dalla coordinatrice, affiancata da un’educatrice ma non in termini di gerarchia e prevaricazione della prima sulla seconda ma piuttosto di un rapporto di sinergia e collaborazione tra le due. Inoltre, il fatto che la coordinatrice sia anche educatrice all’interno della comunità mamma-bambino sostiene ciò che afferma Wenger. </w:t>
      </w:r>
    </w:p>
    <w:p w14:paraId="62D9A8FF"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Coordinare le differenze significa anche coordinare storie diverse - o come direbbe Wenger: tenere conto delle identità dei singoli </w:t>
      </w:r>
      <w:r>
        <w:rPr>
          <w:rFonts w:ascii="Times New Roman" w:eastAsia="Times New Roman" w:hAnsi="Times New Roman" w:cs="Times New Roman"/>
          <w:sz w:val="24"/>
          <w:szCs w:val="24"/>
          <w:vertAlign w:val="superscript"/>
        </w:rPr>
        <w:footnoteReference w:id="8"/>
      </w:r>
      <w:r>
        <w:rPr>
          <w:rFonts w:ascii="Times New Roman" w:eastAsia="Times New Roman" w:hAnsi="Times New Roman" w:cs="Times New Roman"/>
          <w:sz w:val="24"/>
          <w:szCs w:val="24"/>
        </w:rPr>
        <w:t xml:space="preserve"> - che ogni educatore porta sulla scena educativa, storie che derivano dalla propria esperienza personale e professionale e che inevitabilmente influenzano le scelte che l’educatore prende e il modo di interagire con le ospiti.  A sostegno di ciò, Wenger ritiene che la nostra identità sta nel modo in cui viviamo giorno per giorno.</w:t>
      </w:r>
    </w:p>
    <w:p w14:paraId="53352F41"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Il modo in cui la coordinatrice ha esposto il metodo di lavoro, esempi reali di casi e le loro possibili declinazioni ci hanno portato a ricondurre l’insieme a quello che è già stato accennato in precedenza e che Cristina Palmieri definisce </w:t>
      </w:r>
      <w:r>
        <w:rPr>
          <w:rFonts w:ascii="Times New Roman" w:eastAsia="Times New Roman" w:hAnsi="Times New Roman" w:cs="Times New Roman"/>
          <w:i/>
          <w:sz w:val="24"/>
          <w:szCs w:val="24"/>
        </w:rPr>
        <w:t>metodo a-metodico</w:t>
      </w:r>
      <w:r>
        <w:rPr>
          <w:rFonts w:ascii="Times New Roman" w:eastAsia="Times New Roman" w:hAnsi="Times New Roman" w:cs="Times New Roman"/>
          <w:sz w:val="24"/>
          <w:szCs w:val="24"/>
        </w:rPr>
        <w:t>. Questo si caratterizza per essere non qualcosa di fisso e rigido ma che prende forma nel mezzo dell’esperienza. Il rigore del metodo dipende quindi dalla capacità di pensare quello che sta succedendo e che si sta facendo ma anche di esprimere tutto ciò in discorsi che sappiano spiegare le motivazioni delle decisioni prese, delle proposte avanzate, delle azioni sviluppate.</w:t>
      </w:r>
      <w:r>
        <w:rPr>
          <w:rFonts w:ascii="Times New Roman" w:eastAsia="Times New Roman" w:hAnsi="Times New Roman" w:cs="Times New Roman"/>
          <w:sz w:val="24"/>
          <w:szCs w:val="24"/>
          <w:vertAlign w:val="superscript"/>
        </w:rPr>
        <w:footnoteReference w:id="9"/>
      </w:r>
    </w:p>
    <w:p w14:paraId="3A62AAAE"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Così come il </w:t>
      </w:r>
      <w:r>
        <w:rPr>
          <w:rFonts w:ascii="Times New Roman" w:eastAsia="Times New Roman" w:hAnsi="Times New Roman" w:cs="Times New Roman"/>
          <w:i/>
          <w:sz w:val="24"/>
          <w:szCs w:val="24"/>
        </w:rPr>
        <w:t>metodo a-metodico</w:t>
      </w:r>
      <w:r>
        <w:rPr>
          <w:rFonts w:ascii="Times New Roman" w:eastAsia="Times New Roman" w:hAnsi="Times New Roman" w:cs="Times New Roman"/>
          <w:sz w:val="24"/>
          <w:szCs w:val="24"/>
        </w:rPr>
        <w:t xml:space="preserve"> si costruisce nell’esperienza, la consulenza di processo</w:t>
      </w:r>
      <w:r>
        <w:rPr>
          <w:rFonts w:ascii="Times New Roman" w:eastAsia="Times New Roman" w:hAnsi="Times New Roman" w:cs="Times New Roman"/>
          <w:sz w:val="24"/>
          <w:szCs w:val="24"/>
          <w:vertAlign w:val="superscript"/>
        </w:rPr>
        <w:footnoteReference w:id="10"/>
      </w:r>
      <w:r>
        <w:rPr>
          <w:rFonts w:ascii="Times New Roman" w:eastAsia="Times New Roman" w:hAnsi="Times New Roman" w:cs="Times New Roman"/>
          <w:sz w:val="24"/>
          <w:szCs w:val="24"/>
        </w:rPr>
        <w:t xml:space="preserve"> (declinata in un primo livello educatori/ospiti) non si presenta come una ricetta definita e già data ma come una relazione in continuo divenire e che si costruisce nel darsi di essa. L’obiettivo è quindi quello di fornire gli strumenti ma non esplicitare l’uso di essi. </w:t>
      </w:r>
    </w:p>
    <w:p w14:paraId="763A956C"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Nell’approccio della coordinatrice e dell’educatrice abbiamo ritrovato molti elementi della sistemica, di seguito ne presentiamo alcuni.</w:t>
      </w:r>
    </w:p>
    <w:p w14:paraId="408343A0" w14:textId="7EA5DAFB"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Il modello di lavoro dell’</w:t>
      </w:r>
      <w:r w:rsidR="003D7C60">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che ci è stato riportato rimanda al concetto di decentramento, quindi al riportare l’ospite al centro, e con lei anche il sistema di cui anche la donna fa parte. Questo sistema viene concepito come un complesso di elementi in interazione tra loro.</w:t>
      </w:r>
      <w:r>
        <w:rPr>
          <w:rFonts w:ascii="Times New Roman" w:eastAsia="Times New Roman" w:hAnsi="Times New Roman" w:cs="Times New Roman"/>
          <w:sz w:val="24"/>
          <w:szCs w:val="24"/>
          <w:vertAlign w:val="superscript"/>
        </w:rPr>
        <w:footnoteReference w:id="11"/>
      </w:r>
      <w:r>
        <w:rPr>
          <w:rFonts w:ascii="Times New Roman" w:eastAsia="Times New Roman" w:hAnsi="Times New Roman" w:cs="Times New Roman"/>
          <w:sz w:val="24"/>
          <w:szCs w:val="24"/>
        </w:rPr>
        <w:t xml:space="preserve"> Essere consapevoli che le ospiti hanno, fuori dalla struttura di accoglienza, un sistema che condiziona il loro agire è fondamentale per comprendere il comportamento delle donne e con loro lavorare al progetto di vita. Parte del decentramento è anche riconoscere che le credenze delle educatrici sono frutto delle proprie esperienze e della propria storia e quindi soggettive. Come esposto durante l’esercitazione sui casi, dare legittimità alle credenze dell’ospite è la via per supportare l’ospite nel superamento delle proprie fragilità senza imporre una soluzione data dall’esterno.</w:t>
      </w:r>
    </w:p>
    <w:p w14:paraId="06C6207A" w14:textId="07899FA1"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Analogamente, anche l’</w:t>
      </w:r>
      <w:r w:rsidR="003D7C60">
        <w:rPr>
          <w:rFonts w:ascii="Times New Roman" w:eastAsia="Times New Roman" w:hAnsi="Times New Roman" w:cs="Times New Roman"/>
          <w:sz w:val="24"/>
          <w:szCs w:val="24"/>
        </w:rPr>
        <w:t>équipe</w:t>
      </w:r>
      <w:r>
        <w:rPr>
          <w:rFonts w:ascii="Times New Roman" w:eastAsia="Times New Roman" w:hAnsi="Times New Roman" w:cs="Times New Roman"/>
          <w:sz w:val="24"/>
          <w:szCs w:val="24"/>
        </w:rPr>
        <w:t xml:space="preserve"> è un sistema. Durante il workshop la coordinatrice ha sottolineato l’importanza della cura delle relazioni. Nella restituzione sui casi ci ha fatto notare i ruoli e le dinamiche che si erano naturalmente create e ci ha chiesto di riflettere sulle emozioni che ne erano scaturite. A tal proposito troviamo particolarmente calzante la metafora della danza</w:t>
      </w:r>
      <w:r>
        <w:rPr>
          <w:rFonts w:ascii="Times New Roman" w:eastAsia="Times New Roman" w:hAnsi="Times New Roman" w:cs="Times New Roman"/>
          <w:sz w:val="24"/>
          <w:szCs w:val="24"/>
          <w:vertAlign w:val="superscript"/>
        </w:rPr>
        <w:footnoteReference w:id="12"/>
      </w:r>
      <w:r>
        <w:rPr>
          <w:rFonts w:ascii="Times New Roman" w:eastAsia="Times New Roman" w:hAnsi="Times New Roman" w:cs="Times New Roman"/>
          <w:sz w:val="24"/>
          <w:szCs w:val="24"/>
        </w:rPr>
        <w:t>. Quest’ultima è utilizzata nella sistemica per rendere al meglio la complessità e l’organicità di un sistema: ogni membro è un danzatore, in cui le emozioni sono i “passi di danza”</w:t>
      </w:r>
      <w:r>
        <w:rPr>
          <w:rFonts w:ascii="Times New Roman" w:eastAsia="Times New Roman" w:hAnsi="Times New Roman" w:cs="Times New Roman"/>
          <w:sz w:val="24"/>
          <w:szCs w:val="24"/>
          <w:vertAlign w:val="superscript"/>
        </w:rPr>
        <w:t xml:space="preserve"> </w:t>
      </w:r>
      <w:r>
        <w:rPr>
          <w:rFonts w:ascii="Times New Roman" w:eastAsia="Times New Roman" w:hAnsi="Times New Roman" w:cs="Times New Roman"/>
          <w:sz w:val="24"/>
          <w:szCs w:val="24"/>
        </w:rPr>
        <w:t>proposti</w:t>
      </w:r>
      <w:r>
        <w:rPr>
          <w:rFonts w:ascii="Times New Roman" w:eastAsia="Times New Roman" w:hAnsi="Times New Roman" w:cs="Times New Roman"/>
          <w:sz w:val="24"/>
          <w:szCs w:val="24"/>
          <w:vertAlign w:val="superscript"/>
        </w:rPr>
        <w:footnoteReference w:id="13"/>
      </w:r>
      <w:r>
        <w:rPr>
          <w:rFonts w:ascii="Times New Roman" w:eastAsia="Times New Roman" w:hAnsi="Times New Roman" w:cs="Times New Roman"/>
          <w:sz w:val="24"/>
          <w:szCs w:val="24"/>
        </w:rPr>
        <w:t>, come rinforzi (positivi o negativi) relativi alle configurazioni in cui i nostri corpi sono coinvolti.</w:t>
      </w:r>
    </w:p>
    <w:p w14:paraId="79D8A981"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Un altro elemento che abbiamo ritrovato più volte durante il workshop è l’ascolto attivo, che rimanda al posizionamento curioso tipico della sistemica. Bisogna considerare che ascoltare con autentico interesse e con l’intenzione di comprendere in profondità comporta anche la fatica di tollerare il silenzio, di adattarsi ai ritmi dell’altro e di accogliere l’inconsueto, il non noto, l’incongruenza.</w:t>
      </w:r>
    </w:p>
    <w:p w14:paraId="07EBBB1E"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In conclusione, quello che ci portiamo a casa da questo workshop è ben sintetizzato da queste parole:</w:t>
      </w:r>
    </w:p>
    <w:p w14:paraId="79762E1C"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coltivare una comunità di pratica significa creare le condizioni per cui la comunità possa fiorire, ma lasciando che sia la comunità stessa a curare la propria crescita e il proprio sviluppo.</w:t>
      </w:r>
      <w:r>
        <w:rPr>
          <w:rFonts w:ascii="Times New Roman" w:eastAsia="Times New Roman" w:hAnsi="Times New Roman" w:cs="Times New Roman"/>
          <w:sz w:val="24"/>
          <w:szCs w:val="24"/>
          <w:vertAlign w:val="superscript"/>
        </w:rPr>
        <w:footnoteReference w:id="14"/>
      </w:r>
    </w:p>
    <w:p w14:paraId="45D3DB90" w14:textId="77777777" w:rsidR="00483739" w:rsidRDefault="00000000">
      <w:pPr>
        <w:spacing w:line="360" w:lineRule="auto"/>
        <w:rPr>
          <w:rFonts w:ascii="Times New Roman" w:eastAsia="Times New Roman" w:hAnsi="Times New Roman" w:cs="Times New Roman"/>
          <w:sz w:val="24"/>
          <w:szCs w:val="24"/>
        </w:rPr>
      </w:pPr>
      <w:r>
        <w:br w:type="page"/>
      </w:r>
    </w:p>
    <w:p w14:paraId="6B9AF2A9" w14:textId="77777777" w:rsidR="00483739" w:rsidRDefault="00000000">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Bibliografia </w:t>
      </w:r>
    </w:p>
    <w:p w14:paraId="325C24F2"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Corso di Laurea Magistrale in Scienze Pedagogiche, (2023), </w:t>
      </w:r>
      <w:r>
        <w:rPr>
          <w:rFonts w:ascii="Times New Roman" w:eastAsia="Times New Roman" w:hAnsi="Times New Roman" w:cs="Times New Roman"/>
          <w:i/>
          <w:sz w:val="24"/>
          <w:szCs w:val="24"/>
        </w:rPr>
        <w:t>Appunti di Fondamenti della Consulenza Pedagogica</w:t>
      </w:r>
      <w:r>
        <w:rPr>
          <w:rFonts w:ascii="Times New Roman" w:eastAsia="Times New Roman" w:hAnsi="Times New Roman" w:cs="Times New Roman"/>
          <w:sz w:val="24"/>
          <w:szCs w:val="24"/>
        </w:rPr>
        <w:t>, Milano.</w:t>
      </w:r>
    </w:p>
    <w:p w14:paraId="140232F4"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Formenti L. (2017), </w:t>
      </w:r>
      <w:r>
        <w:rPr>
          <w:rFonts w:ascii="Times New Roman" w:eastAsia="Times New Roman" w:hAnsi="Times New Roman" w:cs="Times New Roman"/>
          <w:i/>
          <w:sz w:val="24"/>
          <w:szCs w:val="24"/>
        </w:rPr>
        <w:t>Formazione e trasformazione</w:t>
      </w:r>
      <w:r>
        <w:rPr>
          <w:rFonts w:ascii="Times New Roman" w:eastAsia="Times New Roman" w:hAnsi="Times New Roman" w:cs="Times New Roman"/>
          <w:sz w:val="24"/>
          <w:szCs w:val="24"/>
        </w:rPr>
        <w:t>, Raffaello Cortina Edizioni, Milano.</w:t>
      </w:r>
    </w:p>
    <w:p w14:paraId="336988B8"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Formenti L. (2012), </w:t>
      </w:r>
      <w:r>
        <w:rPr>
          <w:rFonts w:ascii="Times New Roman" w:eastAsia="Times New Roman" w:hAnsi="Times New Roman" w:cs="Times New Roman"/>
          <w:i/>
          <w:sz w:val="24"/>
          <w:szCs w:val="24"/>
        </w:rPr>
        <w:t>Re-inventare la famiglia</w:t>
      </w:r>
      <w:r>
        <w:rPr>
          <w:rFonts w:ascii="Times New Roman" w:eastAsia="Times New Roman" w:hAnsi="Times New Roman" w:cs="Times New Roman"/>
          <w:sz w:val="24"/>
          <w:szCs w:val="24"/>
        </w:rPr>
        <w:t xml:space="preserve">, Apogeo </w:t>
      </w:r>
      <w:proofErr w:type="spellStart"/>
      <w:r>
        <w:rPr>
          <w:rFonts w:ascii="Times New Roman" w:eastAsia="Times New Roman" w:hAnsi="Times New Roman" w:cs="Times New Roman"/>
          <w:sz w:val="24"/>
          <w:szCs w:val="24"/>
        </w:rPr>
        <w:t>Education</w:t>
      </w:r>
      <w:proofErr w:type="spellEnd"/>
      <w:r>
        <w:rPr>
          <w:rFonts w:ascii="Times New Roman" w:eastAsia="Times New Roman" w:hAnsi="Times New Roman" w:cs="Times New Roman"/>
          <w:sz w:val="24"/>
          <w:szCs w:val="24"/>
        </w:rPr>
        <w:t>, Milano.</w:t>
      </w:r>
    </w:p>
    <w:p w14:paraId="72AEB8A8"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Palmieri C. (2018), </w:t>
      </w:r>
      <w:r>
        <w:rPr>
          <w:rFonts w:ascii="Times New Roman" w:eastAsia="Times New Roman" w:hAnsi="Times New Roman" w:cs="Times New Roman"/>
          <w:i/>
          <w:sz w:val="24"/>
          <w:szCs w:val="24"/>
        </w:rPr>
        <w:t>Dentro al lavoro educativo. Pensare il metodo, tra scenario professionale e cura dell'esperienza educativa</w:t>
      </w:r>
      <w:r>
        <w:rPr>
          <w:rFonts w:ascii="Times New Roman" w:eastAsia="Times New Roman" w:hAnsi="Times New Roman" w:cs="Times New Roman"/>
          <w:sz w:val="24"/>
          <w:szCs w:val="24"/>
        </w:rPr>
        <w:t>, Franco Angeli, Milano.</w:t>
      </w:r>
    </w:p>
    <w:p w14:paraId="33EEFF9D" w14:textId="77777777" w:rsidR="00483739" w:rsidRDefault="00000000">
      <w:pPr>
        <w:spacing w:after="0" w:line="360" w:lineRule="auto"/>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Schein</w:t>
      </w:r>
      <w:proofErr w:type="spellEnd"/>
      <w:r>
        <w:rPr>
          <w:rFonts w:ascii="Times New Roman" w:eastAsia="Times New Roman" w:hAnsi="Times New Roman" w:cs="Times New Roman"/>
          <w:sz w:val="24"/>
          <w:szCs w:val="24"/>
        </w:rPr>
        <w:t xml:space="preserve"> E. (2001), </w:t>
      </w:r>
      <w:r>
        <w:rPr>
          <w:rFonts w:ascii="Times New Roman" w:eastAsia="Times New Roman" w:hAnsi="Times New Roman" w:cs="Times New Roman"/>
          <w:i/>
          <w:sz w:val="24"/>
          <w:szCs w:val="24"/>
        </w:rPr>
        <w:t>La consulenza di processo. Come costruire relazioni d’aiuto e promuovere lo sviluppo organizzativo</w:t>
      </w:r>
      <w:r>
        <w:rPr>
          <w:rFonts w:ascii="Times New Roman" w:eastAsia="Times New Roman" w:hAnsi="Times New Roman" w:cs="Times New Roman"/>
          <w:sz w:val="24"/>
          <w:szCs w:val="24"/>
        </w:rPr>
        <w:t>, Raffaello Cortina Edizioni, Milano.</w:t>
      </w:r>
    </w:p>
    <w:p w14:paraId="72D10A2A"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Sclavi. (2003), </w:t>
      </w:r>
      <w:r>
        <w:rPr>
          <w:rFonts w:ascii="Times New Roman" w:eastAsia="Times New Roman" w:hAnsi="Times New Roman" w:cs="Times New Roman"/>
          <w:i/>
          <w:sz w:val="24"/>
          <w:szCs w:val="24"/>
        </w:rPr>
        <w:t>Arte di ascoltare e mondi possibili</w:t>
      </w:r>
      <w:r>
        <w:rPr>
          <w:rFonts w:ascii="Times New Roman" w:eastAsia="Times New Roman" w:hAnsi="Times New Roman" w:cs="Times New Roman"/>
          <w:sz w:val="24"/>
          <w:szCs w:val="24"/>
        </w:rPr>
        <w:t>, Bruno Mondadori, Torino.</w:t>
      </w:r>
    </w:p>
    <w:p w14:paraId="587FEF2F"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Wenger E. &amp; </w:t>
      </w:r>
      <w:proofErr w:type="spellStart"/>
      <w:r>
        <w:rPr>
          <w:rFonts w:ascii="Times New Roman" w:eastAsia="Times New Roman" w:hAnsi="Times New Roman" w:cs="Times New Roman"/>
          <w:sz w:val="24"/>
          <w:szCs w:val="24"/>
        </w:rPr>
        <w:t>Leave</w:t>
      </w:r>
      <w:proofErr w:type="spellEnd"/>
      <w:r>
        <w:rPr>
          <w:rFonts w:ascii="Times New Roman" w:eastAsia="Times New Roman" w:hAnsi="Times New Roman" w:cs="Times New Roman"/>
          <w:sz w:val="24"/>
          <w:szCs w:val="24"/>
        </w:rPr>
        <w:t xml:space="preserve"> J. (2006), </w:t>
      </w:r>
      <w:r>
        <w:rPr>
          <w:rFonts w:ascii="Times New Roman" w:eastAsia="Times New Roman" w:hAnsi="Times New Roman" w:cs="Times New Roman"/>
          <w:i/>
          <w:sz w:val="24"/>
          <w:szCs w:val="24"/>
        </w:rPr>
        <w:t>Comunità di pratica. Apprendimento, significato e identità</w:t>
      </w:r>
      <w:r>
        <w:rPr>
          <w:rFonts w:ascii="Times New Roman" w:eastAsia="Times New Roman" w:hAnsi="Times New Roman" w:cs="Times New Roman"/>
          <w:sz w:val="24"/>
          <w:szCs w:val="24"/>
        </w:rPr>
        <w:t>, Raffaello Cortina Editore, Milano.</w:t>
      </w:r>
    </w:p>
    <w:p w14:paraId="3F07B6B7" w14:textId="77777777" w:rsidR="00483739" w:rsidRDefault="00483739">
      <w:pPr>
        <w:spacing w:after="0" w:line="360" w:lineRule="auto"/>
        <w:jc w:val="both"/>
        <w:rPr>
          <w:rFonts w:ascii="Times New Roman" w:eastAsia="Times New Roman" w:hAnsi="Times New Roman" w:cs="Times New Roman"/>
          <w:sz w:val="24"/>
          <w:szCs w:val="24"/>
        </w:rPr>
      </w:pPr>
    </w:p>
    <w:p w14:paraId="25F95FC0" w14:textId="77777777" w:rsidR="00483739" w:rsidRDefault="00000000">
      <w:pPr>
        <w:spacing w:after="0" w:line="36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Sitografia</w:t>
      </w:r>
    </w:p>
    <w:p w14:paraId="6ADB1759" w14:textId="77777777" w:rsidR="00483739" w:rsidRDefault="00000000">
      <w:pPr>
        <w:spacing w:after="0" w:line="360" w:lineRule="auto"/>
        <w:jc w:val="both"/>
        <w:rPr>
          <w:rFonts w:ascii="Times New Roman" w:eastAsia="Times New Roman" w:hAnsi="Times New Roman" w:cs="Times New Roman"/>
          <w:sz w:val="24"/>
          <w:szCs w:val="24"/>
        </w:rPr>
      </w:pPr>
      <w:hyperlink r:id="rId8">
        <w:r>
          <w:rPr>
            <w:rFonts w:ascii="Times New Roman" w:eastAsia="Times New Roman" w:hAnsi="Times New Roman" w:cs="Times New Roman"/>
            <w:sz w:val="24"/>
            <w:szCs w:val="24"/>
          </w:rPr>
          <w:t>https://www.casadellacarita.org/notizie/un-giardino-zen-per-teresa-pomodoro/</w:t>
        </w:r>
      </w:hyperlink>
      <w:r>
        <w:rPr>
          <w:rFonts w:ascii="Times New Roman" w:eastAsia="Times New Roman" w:hAnsi="Times New Roman" w:cs="Times New Roman"/>
          <w:sz w:val="24"/>
          <w:szCs w:val="24"/>
        </w:rPr>
        <w:t>, Milano (Data di ultima consultazione 26 dicembre 2024).</w:t>
      </w:r>
    </w:p>
    <w:p w14:paraId="721B9FEC" w14:textId="77777777" w:rsidR="00483739" w:rsidRDefault="00000000">
      <w:pPr>
        <w:spacing w:after="0" w:line="360" w:lineRule="auto"/>
        <w:jc w:val="both"/>
        <w:rPr>
          <w:rFonts w:ascii="Times New Roman" w:eastAsia="Times New Roman" w:hAnsi="Times New Roman" w:cs="Times New Roman"/>
          <w:sz w:val="24"/>
          <w:szCs w:val="24"/>
        </w:rPr>
      </w:pPr>
      <w:hyperlink r:id="rId9">
        <w:r>
          <w:rPr>
            <w:rFonts w:ascii="Times New Roman" w:eastAsia="Times New Roman" w:hAnsi="Times New Roman" w:cs="Times New Roman"/>
            <w:sz w:val="24"/>
            <w:szCs w:val="24"/>
          </w:rPr>
          <w:t>https://geapolis.eu/pensieri-in-briciole-aprile-2016/</w:t>
        </w:r>
      </w:hyperlink>
      <w:r>
        <w:rPr>
          <w:rFonts w:ascii="Times New Roman" w:eastAsia="Times New Roman" w:hAnsi="Times New Roman" w:cs="Times New Roman"/>
          <w:sz w:val="24"/>
          <w:szCs w:val="24"/>
        </w:rPr>
        <w:t xml:space="preserve">  (Data di ultima consultazione 15 dicembre 2024).</w:t>
      </w:r>
    </w:p>
    <w:p w14:paraId="28D324D6" w14:textId="77777777" w:rsidR="00483739" w:rsidRDefault="00483739">
      <w:pPr>
        <w:spacing w:after="0" w:line="360" w:lineRule="auto"/>
        <w:ind w:hanging="720"/>
        <w:rPr>
          <w:rFonts w:ascii="Times New Roman" w:eastAsia="Times New Roman" w:hAnsi="Times New Roman" w:cs="Times New Roman"/>
          <w:sz w:val="24"/>
          <w:szCs w:val="24"/>
        </w:rPr>
      </w:pPr>
    </w:p>
    <w:sectPr w:rsidR="00483739">
      <w:pgSz w:w="11906" w:h="16838"/>
      <w:pgMar w:top="1417" w:right="1134" w:bottom="1134" w:left="1134"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B4EE82" w14:textId="77777777" w:rsidR="001C5DC1" w:rsidRDefault="001C5DC1">
      <w:pPr>
        <w:spacing w:after="0" w:line="240" w:lineRule="auto"/>
      </w:pPr>
      <w:r>
        <w:separator/>
      </w:r>
    </w:p>
  </w:endnote>
  <w:endnote w:type="continuationSeparator" w:id="0">
    <w:p w14:paraId="1F44E4ED" w14:textId="77777777" w:rsidR="001C5DC1" w:rsidRDefault="001C5D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embedRegular r:id="rId1" w:fontKey="{2FA43971-17C0-4D25-86E7-99CB12A6B6B0}"/>
    <w:embedItalic r:id="rId2" w:fontKey="{A40C00C8-CBD4-4890-AB2A-BD296274B95E}"/>
  </w:font>
  <w:font w:name="Aptos Display">
    <w:charset w:val="00"/>
    <w:family w:val="swiss"/>
    <w:pitch w:val="variable"/>
    <w:sig w:usb0="20000287" w:usb1="00000003" w:usb2="00000000" w:usb3="00000000" w:csb0="0000019F" w:csb1="00000000"/>
    <w:embedRegular r:id="rId3" w:fontKey="{ABBAE886-1A02-478C-872A-9B35E7FB05E4}"/>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4" w:fontKey="{D3DD2893-8519-4C2D-93E2-B7883B03E663}"/>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E3996C" w14:textId="77777777" w:rsidR="001C5DC1" w:rsidRDefault="001C5DC1">
      <w:pPr>
        <w:spacing w:after="0" w:line="240" w:lineRule="auto"/>
      </w:pPr>
      <w:r>
        <w:separator/>
      </w:r>
    </w:p>
  </w:footnote>
  <w:footnote w:type="continuationSeparator" w:id="0">
    <w:p w14:paraId="51BB5E9A" w14:textId="77777777" w:rsidR="001C5DC1" w:rsidRDefault="001C5DC1">
      <w:pPr>
        <w:spacing w:after="0" w:line="240" w:lineRule="auto"/>
      </w:pPr>
      <w:r>
        <w:continuationSeparator/>
      </w:r>
    </w:p>
  </w:footnote>
  <w:footnote w:id="1">
    <w:p w14:paraId="02F29588" w14:textId="77777777" w:rsidR="00483739" w:rsidRDefault="00000000">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vertAlign w:val="superscript"/>
        </w:rPr>
        <w:footnoteRef/>
      </w:r>
      <w:r>
        <w:rPr>
          <w:color w:val="000000"/>
          <w:sz w:val="20"/>
          <w:szCs w:val="20"/>
        </w:rPr>
        <w:t xml:space="preserve"> </w:t>
      </w:r>
      <w:r>
        <w:rPr>
          <w:rFonts w:ascii="Times New Roman" w:eastAsia="Times New Roman" w:hAnsi="Times New Roman" w:cs="Times New Roman"/>
          <w:color w:val="000000"/>
          <w:sz w:val="20"/>
          <w:szCs w:val="20"/>
        </w:rPr>
        <w:t>Un giardino zen per Teresa Pomodoro, “</w:t>
      </w:r>
      <w:r>
        <w:rPr>
          <w:rFonts w:ascii="Times New Roman" w:eastAsia="Times New Roman" w:hAnsi="Times New Roman" w:cs="Times New Roman"/>
          <w:i/>
          <w:color w:val="000000"/>
          <w:sz w:val="20"/>
          <w:szCs w:val="20"/>
        </w:rPr>
        <w:t>Anche la Casa della Carità supporta il progetto del Teatro No’hma, che ha donato alla città un giardino zen”,</w:t>
      </w:r>
      <w:r>
        <w:rPr>
          <w:rFonts w:ascii="Times New Roman" w:eastAsia="Times New Roman" w:hAnsi="Times New Roman" w:cs="Times New Roman"/>
          <w:color w:val="000000"/>
          <w:sz w:val="20"/>
          <w:szCs w:val="20"/>
        </w:rPr>
        <w:t xml:space="preserve"> </w:t>
      </w:r>
      <w:hyperlink r:id="rId1">
        <w:r>
          <w:rPr>
            <w:rFonts w:ascii="Times New Roman" w:eastAsia="Times New Roman" w:hAnsi="Times New Roman" w:cs="Times New Roman"/>
            <w:color w:val="000000"/>
            <w:sz w:val="20"/>
            <w:szCs w:val="20"/>
          </w:rPr>
          <w:t>https://www.casadellacarita.org/notizie/un-giardino-zen-per-teresa-pomodoro/</w:t>
        </w:r>
      </w:hyperlink>
      <w:r>
        <w:rPr>
          <w:rFonts w:ascii="Times New Roman" w:eastAsia="Times New Roman" w:hAnsi="Times New Roman" w:cs="Times New Roman"/>
          <w:color w:val="000000"/>
          <w:sz w:val="20"/>
          <w:szCs w:val="20"/>
        </w:rPr>
        <w:t>, Milano, 2021.</w:t>
      </w:r>
    </w:p>
  </w:footnote>
  <w:footnote w:id="2">
    <w:p w14:paraId="2F5F3356" w14:textId="77777777" w:rsidR="00483739" w:rsidRDefault="00000000">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vertAlign w:val="superscript"/>
        </w:rPr>
        <w:footnoteRef/>
      </w:r>
      <w:r>
        <w:rPr>
          <w:color w:val="000000"/>
          <w:sz w:val="20"/>
          <w:szCs w:val="20"/>
        </w:rPr>
        <w:t xml:space="preserve"> </w:t>
      </w:r>
      <w:r>
        <w:rPr>
          <w:rFonts w:ascii="Times New Roman" w:eastAsia="Times New Roman" w:hAnsi="Times New Roman" w:cs="Times New Roman"/>
          <w:color w:val="000000"/>
          <w:sz w:val="20"/>
          <w:szCs w:val="20"/>
        </w:rPr>
        <w:t>Ivi, Milano, 2021,</w:t>
      </w:r>
    </w:p>
    <w:p w14:paraId="7241352C" w14:textId="77777777" w:rsidR="00483739" w:rsidRDefault="00483739">
      <w:pPr>
        <w:pBdr>
          <w:top w:val="nil"/>
          <w:left w:val="nil"/>
          <w:bottom w:val="nil"/>
          <w:right w:val="nil"/>
          <w:between w:val="nil"/>
        </w:pBdr>
        <w:spacing w:after="0" w:line="240" w:lineRule="auto"/>
        <w:rPr>
          <w:color w:val="000000"/>
          <w:sz w:val="20"/>
          <w:szCs w:val="20"/>
        </w:rPr>
      </w:pPr>
    </w:p>
  </w:footnote>
  <w:footnote w:id="3">
    <w:p w14:paraId="4AA1BC0A" w14:textId="77777777" w:rsidR="00483739" w:rsidRDefault="00000000">
      <w:pPr>
        <w:spacing w:after="0" w:line="240" w:lineRule="auto"/>
        <w:jc w:val="both"/>
        <w:rPr>
          <w:rFonts w:ascii="Times New Roman" w:eastAsia="Times New Roman" w:hAnsi="Times New Roman" w:cs="Times New Roman"/>
          <w:sz w:val="20"/>
          <w:szCs w:val="20"/>
        </w:rPr>
      </w:pPr>
      <w:r>
        <w:rPr>
          <w:vertAlign w:val="superscript"/>
        </w:rPr>
        <w:footnoteRef/>
      </w:r>
      <w:r>
        <w:rPr>
          <w:rFonts w:ascii="Times New Roman" w:eastAsia="Times New Roman" w:hAnsi="Times New Roman" w:cs="Times New Roman"/>
          <w:sz w:val="20"/>
          <w:szCs w:val="20"/>
        </w:rPr>
        <w:t xml:space="preserve"> J. Bruner,1968, in </w:t>
      </w:r>
      <w:proofErr w:type="spellStart"/>
      <w:r>
        <w:rPr>
          <w:rFonts w:ascii="Times New Roman" w:eastAsia="Times New Roman" w:hAnsi="Times New Roman" w:cs="Times New Roman"/>
          <w:sz w:val="20"/>
          <w:szCs w:val="20"/>
        </w:rPr>
        <w:t>Geapolis</w:t>
      </w:r>
      <w:proofErr w:type="spellEnd"/>
      <w:r>
        <w:rPr>
          <w:rFonts w:ascii="Times New Roman" w:eastAsia="Times New Roman" w:hAnsi="Times New Roman" w:cs="Times New Roman"/>
          <w:sz w:val="20"/>
          <w:szCs w:val="20"/>
        </w:rPr>
        <w:t xml:space="preserve"> </w:t>
      </w:r>
      <w:proofErr w:type="spellStart"/>
      <w:r>
        <w:rPr>
          <w:rFonts w:ascii="Times New Roman" w:eastAsia="Times New Roman" w:hAnsi="Times New Roman" w:cs="Times New Roman"/>
          <w:sz w:val="20"/>
          <w:szCs w:val="20"/>
        </w:rPr>
        <w:t>Adult</w:t>
      </w:r>
      <w:proofErr w:type="spellEnd"/>
      <w:r>
        <w:rPr>
          <w:rFonts w:ascii="Times New Roman" w:eastAsia="Times New Roman" w:hAnsi="Times New Roman" w:cs="Times New Roman"/>
          <w:sz w:val="20"/>
          <w:szCs w:val="20"/>
        </w:rPr>
        <w:t xml:space="preserve"> learning </w:t>
      </w:r>
      <w:proofErr w:type="spellStart"/>
      <w:r>
        <w:rPr>
          <w:rFonts w:ascii="Times New Roman" w:eastAsia="Times New Roman" w:hAnsi="Times New Roman" w:cs="Times New Roman"/>
          <w:sz w:val="20"/>
          <w:szCs w:val="20"/>
        </w:rPr>
        <w:t>opportunities</w:t>
      </w:r>
      <w:proofErr w:type="spellEnd"/>
      <w:r>
        <w:rPr>
          <w:rFonts w:ascii="Times New Roman" w:eastAsia="Times New Roman" w:hAnsi="Times New Roman" w:cs="Times New Roman"/>
          <w:sz w:val="20"/>
          <w:szCs w:val="20"/>
        </w:rPr>
        <w:t xml:space="preserve">, </w:t>
      </w:r>
      <w:r>
        <w:rPr>
          <w:rFonts w:ascii="Times New Roman" w:eastAsia="Times New Roman" w:hAnsi="Times New Roman" w:cs="Times New Roman"/>
          <w:i/>
          <w:sz w:val="20"/>
          <w:szCs w:val="20"/>
        </w:rPr>
        <w:t>Jerome Bruner e l’apprendimento collaborativo</w:t>
      </w:r>
      <w:r>
        <w:rPr>
          <w:rFonts w:ascii="Times New Roman" w:eastAsia="Times New Roman" w:hAnsi="Times New Roman" w:cs="Times New Roman"/>
          <w:sz w:val="20"/>
          <w:szCs w:val="20"/>
        </w:rPr>
        <w:t xml:space="preserve">, 2016, </w:t>
      </w:r>
      <w:hyperlink r:id="rId2">
        <w:r>
          <w:rPr>
            <w:rFonts w:ascii="Times New Roman" w:eastAsia="Times New Roman" w:hAnsi="Times New Roman" w:cs="Times New Roman"/>
            <w:sz w:val="20"/>
            <w:szCs w:val="20"/>
          </w:rPr>
          <w:t>https://geapolis.eu/pensieri-in-briciole-aprile-2016/</w:t>
        </w:r>
      </w:hyperlink>
      <w:r>
        <w:rPr>
          <w:rFonts w:ascii="Times New Roman" w:eastAsia="Times New Roman" w:hAnsi="Times New Roman" w:cs="Times New Roman"/>
          <w:sz w:val="20"/>
          <w:szCs w:val="20"/>
        </w:rPr>
        <w:t>.</w:t>
      </w:r>
    </w:p>
    <w:p w14:paraId="39B7AA91" w14:textId="77777777" w:rsidR="00483739" w:rsidRDefault="00483739">
      <w:pPr>
        <w:spacing w:after="0" w:line="240" w:lineRule="auto"/>
        <w:jc w:val="both"/>
        <w:rPr>
          <w:rFonts w:ascii="Times New Roman" w:eastAsia="Times New Roman" w:hAnsi="Times New Roman" w:cs="Times New Roman"/>
          <w:sz w:val="20"/>
          <w:szCs w:val="20"/>
        </w:rPr>
      </w:pPr>
    </w:p>
    <w:p w14:paraId="56175BD5" w14:textId="77777777" w:rsidR="00483739" w:rsidRDefault="00483739">
      <w:pPr>
        <w:spacing w:after="0" w:line="240" w:lineRule="auto"/>
        <w:jc w:val="both"/>
        <w:rPr>
          <w:rFonts w:ascii="Times New Roman" w:eastAsia="Times New Roman" w:hAnsi="Times New Roman" w:cs="Times New Roman"/>
          <w:sz w:val="20"/>
          <w:szCs w:val="20"/>
        </w:rPr>
      </w:pPr>
    </w:p>
  </w:footnote>
  <w:footnote w:id="4">
    <w:p w14:paraId="592AEE71" w14:textId="77777777" w:rsidR="00483739" w:rsidRDefault="00000000">
      <w:pPr>
        <w:pBdr>
          <w:top w:val="nil"/>
          <w:left w:val="nil"/>
          <w:bottom w:val="nil"/>
          <w:right w:val="nil"/>
          <w:between w:val="nil"/>
        </w:pBdr>
        <w:spacing w:after="0" w:line="240" w:lineRule="auto"/>
        <w:jc w:val="both"/>
        <w:rPr>
          <w:rFonts w:ascii="Times New Roman" w:eastAsia="Times New Roman" w:hAnsi="Times New Roman" w:cs="Times New Roman"/>
          <w:color w:val="000000"/>
          <w:sz w:val="20"/>
          <w:szCs w:val="20"/>
        </w:rPr>
      </w:pPr>
      <w:r>
        <w:rPr>
          <w:vertAlign w:val="superscript"/>
        </w:rPr>
        <w:footnoteRef/>
      </w:r>
      <w:r>
        <w:rPr>
          <w:rFonts w:ascii="Times New Roman" w:eastAsia="Times New Roman" w:hAnsi="Times New Roman" w:cs="Times New Roman"/>
          <w:color w:val="000000"/>
          <w:sz w:val="20"/>
          <w:szCs w:val="20"/>
        </w:rPr>
        <w:t xml:space="preserve"> L. Formenti, </w:t>
      </w:r>
      <w:r>
        <w:rPr>
          <w:rFonts w:ascii="Times New Roman" w:eastAsia="Times New Roman" w:hAnsi="Times New Roman" w:cs="Times New Roman"/>
          <w:i/>
          <w:color w:val="000000"/>
          <w:sz w:val="20"/>
          <w:szCs w:val="20"/>
        </w:rPr>
        <w:t>Formazione e trasformazione</w:t>
      </w:r>
      <w:r>
        <w:rPr>
          <w:rFonts w:ascii="Times New Roman" w:eastAsia="Times New Roman" w:hAnsi="Times New Roman" w:cs="Times New Roman"/>
          <w:color w:val="000000"/>
          <w:sz w:val="20"/>
          <w:szCs w:val="20"/>
        </w:rPr>
        <w:t>, Raffaello Cortina Edizioni, Milano, 2017.</w:t>
      </w:r>
    </w:p>
  </w:footnote>
  <w:footnote w:id="5">
    <w:p w14:paraId="5F0A4CC0" w14:textId="77777777" w:rsidR="00483739" w:rsidRDefault="00000000">
      <w:pPr>
        <w:pBdr>
          <w:top w:val="nil"/>
          <w:left w:val="nil"/>
          <w:bottom w:val="nil"/>
          <w:right w:val="nil"/>
          <w:between w:val="nil"/>
        </w:pBdr>
        <w:spacing w:after="0" w:line="240" w:lineRule="auto"/>
        <w:jc w:val="both"/>
        <w:rPr>
          <w:rFonts w:ascii="Times New Roman" w:eastAsia="Times New Roman" w:hAnsi="Times New Roman" w:cs="Times New Roman"/>
          <w:color w:val="000000"/>
          <w:sz w:val="20"/>
          <w:szCs w:val="20"/>
        </w:rPr>
      </w:pPr>
      <w:r>
        <w:rPr>
          <w:vertAlign w:val="superscript"/>
        </w:rPr>
        <w:footnoteRef/>
      </w:r>
      <w:r>
        <w:rPr>
          <w:rFonts w:ascii="Times New Roman" w:eastAsia="Times New Roman" w:hAnsi="Times New Roman" w:cs="Times New Roman"/>
          <w:color w:val="000000"/>
          <w:sz w:val="20"/>
          <w:szCs w:val="20"/>
        </w:rPr>
        <w:t xml:space="preserve"> C. Palmieri, </w:t>
      </w:r>
      <w:r>
        <w:rPr>
          <w:rFonts w:ascii="Times New Roman" w:eastAsia="Times New Roman" w:hAnsi="Times New Roman" w:cs="Times New Roman"/>
          <w:i/>
          <w:color w:val="000000"/>
          <w:sz w:val="20"/>
          <w:szCs w:val="20"/>
        </w:rPr>
        <w:t>Dentro al lavoro educativo. Pensare il metodo, tra scenario professionale e cura dell'esperienza educativa</w:t>
      </w:r>
      <w:r>
        <w:rPr>
          <w:rFonts w:ascii="Times New Roman" w:eastAsia="Times New Roman" w:hAnsi="Times New Roman" w:cs="Times New Roman"/>
          <w:color w:val="000000"/>
          <w:sz w:val="20"/>
          <w:szCs w:val="20"/>
        </w:rPr>
        <w:t>, Franco Angeli, Milano, 2018.</w:t>
      </w:r>
    </w:p>
    <w:p w14:paraId="292F4A94" w14:textId="77777777" w:rsidR="00483739" w:rsidRDefault="00483739">
      <w:pPr>
        <w:pBdr>
          <w:top w:val="nil"/>
          <w:left w:val="nil"/>
          <w:bottom w:val="nil"/>
          <w:right w:val="nil"/>
          <w:between w:val="nil"/>
        </w:pBdr>
        <w:spacing w:after="0" w:line="240" w:lineRule="auto"/>
        <w:rPr>
          <w:color w:val="000000"/>
          <w:sz w:val="20"/>
          <w:szCs w:val="20"/>
        </w:rPr>
      </w:pPr>
    </w:p>
  </w:footnote>
  <w:footnote w:id="6">
    <w:p w14:paraId="164CC7AA" w14:textId="77777777" w:rsidR="00483739" w:rsidRDefault="00000000">
      <w:pPr>
        <w:pBdr>
          <w:top w:val="nil"/>
          <w:left w:val="nil"/>
          <w:bottom w:val="nil"/>
          <w:right w:val="nil"/>
          <w:between w:val="nil"/>
        </w:pBdr>
        <w:spacing w:after="0" w:line="240" w:lineRule="auto"/>
        <w:rPr>
          <w:rFonts w:ascii="Times New Roman" w:eastAsia="Times New Roman" w:hAnsi="Times New Roman" w:cs="Times New Roman"/>
          <w:color w:val="000000"/>
          <w:sz w:val="20"/>
          <w:szCs w:val="20"/>
        </w:rPr>
      </w:pPr>
      <w:r>
        <w:rPr>
          <w:vertAlign w:val="superscript"/>
        </w:rPr>
        <w:footnoteRef/>
      </w:r>
      <w:r>
        <w:rPr>
          <w:rFonts w:ascii="Times New Roman" w:eastAsia="Times New Roman" w:hAnsi="Times New Roman" w:cs="Times New Roman"/>
          <w:color w:val="000000"/>
          <w:sz w:val="20"/>
          <w:szCs w:val="20"/>
        </w:rPr>
        <w:t xml:space="preserve"> E. Wenger e J. </w:t>
      </w:r>
      <w:proofErr w:type="spellStart"/>
      <w:r>
        <w:rPr>
          <w:rFonts w:ascii="Times New Roman" w:eastAsia="Times New Roman" w:hAnsi="Times New Roman" w:cs="Times New Roman"/>
          <w:color w:val="000000"/>
          <w:sz w:val="20"/>
          <w:szCs w:val="20"/>
        </w:rPr>
        <w:t>Leave</w:t>
      </w:r>
      <w:proofErr w:type="spellEnd"/>
      <w:r>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i/>
          <w:color w:val="000000"/>
          <w:sz w:val="20"/>
          <w:szCs w:val="20"/>
        </w:rPr>
        <w:t>Comunità di pratica. Apprendimento, significato e identità</w:t>
      </w:r>
      <w:r>
        <w:rPr>
          <w:rFonts w:ascii="Times New Roman" w:eastAsia="Times New Roman" w:hAnsi="Times New Roman" w:cs="Times New Roman"/>
          <w:color w:val="000000"/>
          <w:sz w:val="20"/>
          <w:szCs w:val="20"/>
        </w:rPr>
        <w:t>, Raffaello Cortina Editore, Milano, 2006, p. 313.</w:t>
      </w:r>
    </w:p>
  </w:footnote>
  <w:footnote w:id="7">
    <w:p w14:paraId="1A948B91" w14:textId="77777777" w:rsidR="00483739" w:rsidRDefault="00000000">
      <w:pPr>
        <w:pBdr>
          <w:top w:val="nil"/>
          <w:left w:val="nil"/>
          <w:bottom w:val="nil"/>
          <w:right w:val="nil"/>
          <w:between w:val="nil"/>
        </w:pBdr>
        <w:spacing w:after="0" w:line="240" w:lineRule="auto"/>
        <w:jc w:val="both"/>
        <w:rPr>
          <w:rFonts w:ascii="Times New Roman" w:eastAsia="Times New Roman" w:hAnsi="Times New Roman" w:cs="Times New Roman"/>
          <w:color w:val="000000"/>
          <w:sz w:val="20"/>
          <w:szCs w:val="20"/>
        </w:rPr>
      </w:pPr>
      <w:r>
        <w:rPr>
          <w:vertAlign w:val="superscript"/>
        </w:rPr>
        <w:footnoteRef/>
      </w:r>
      <w:r>
        <w:rPr>
          <w:rFonts w:ascii="Times New Roman" w:eastAsia="Times New Roman" w:hAnsi="Times New Roman" w:cs="Times New Roman"/>
          <w:color w:val="000000"/>
          <w:sz w:val="20"/>
          <w:szCs w:val="20"/>
        </w:rPr>
        <w:t xml:space="preserve"> E. Wenger e J. </w:t>
      </w:r>
      <w:proofErr w:type="spellStart"/>
      <w:r>
        <w:rPr>
          <w:rFonts w:ascii="Times New Roman" w:eastAsia="Times New Roman" w:hAnsi="Times New Roman" w:cs="Times New Roman"/>
          <w:color w:val="000000"/>
          <w:sz w:val="20"/>
          <w:szCs w:val="20"/>
        </w:rPr>
        <w:t>Leave</w:t>
      </w:r>
      <w:proofErr w:type="spellEnd"/>
      <w:r>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i/>
          <w:color w:val="000000"/>
          <w:sz w:val="20"/>
          <w:szCs w:val="20"/>
        </w:rPr>
        <w:t>Comunità di pratica. Apprendimento, significato e identità</w:t>
      </w:r>
      <w:r>
        <w:rPr>
          <w:rFonts w:ascii="Times New Roman" w:eastAsia="Times New Roman" w:hAnsi="Times New Roman" w:cs="Times New Roman"/>
          <w:color w:val="000000"/>
          <w:sz w:val="20"/>
          <w:szCs w:val="20"/>
        </w:rPr>
        <w:t>, Raffaello Cortina Editore, Milano, 2006, p. 67.</w:t>
      </w:r>
    </w:p>
  </w:footnote>
  <w:footnote w:id="8">
    <w:p w14:paraId="4FBB061A" w14:textId="77777777" w:rsidR="00483739" w:rsidRDefault="00000000">
      <w:pPr>
        <w:pBdr>
          <w:top w:val="nil"/>
          <w:left w:val="nil"/>
          <w:bottom w:val="nil"/>
          <w:right w:val="nil"/>
          <w:between w:val="nil"/>
        </w:pBdr>
        <w:spacing w:after="0" w:line="240" w:lineRule="auto"/>
        <w:jc w:val="both"/>
        <w:rPr>
          <w:rFonts w:ascii="Times New Roman" w:eastAsia="Times New Roman" w:hAnsi="Times New Roman" w:cs="Times New Roman"/>
          <w:color w:val="000000"/>
          <w:sz w:val="20"/>
          <w:szCs w:val="20"/>
        </w:rPr>
      </w:pPr>
      <w:r>
        <w:rPr>
          <w:vertAlign w:val="superscript"/>
        </w:rPr>
        <w:footnoteRef/>
      </w:r>
      <w:r>
        <w:rPr>
          <w:rFonts w:ascii="Times New Roman" w:eastAsia="Times New Roman" w:hAnsi="Times New Roman" w:cs="Times New Roman"/>
          <w:color w:val="000000"/>
          <w:sz w:val="20"/>
          <w:szCs w:val="20"/>
        </w:rPr>
        <w:t xml:space="preserve"> Ivi, p. 319.</w:t>
      </w:r>
    </w:p>
  </w:footnote>
  <w:footnote w:id="9">
    <w:p w14:paraId="54E5F7C6" w14:textId="77777777" w:rsidR="00483739" w:rsidRDefault="00000000">
      <w:pPr>
        <w:pBdr>
          <w:top w:val="nil"/>
          <w:left w:val="nil"/>
          <w:bottom w:val="nil"/>
          <w:right w:val="nil"/>
          <w:between w:val="nil"/>
        </w:pBdr>
        <w:spacing w:after="0" w:line="240" w:lineRule="auto"/>
        <w:jc w:val="both"/>
        <w:rPr>
          <w:rFonts w:ascii="Times New Roman" w:eastAsia="Times New Roman" w:hAnsi="Times New Roman" w:cs="Times New Roman"/>
          <w:color w:val="000000"/>
          <w:sz w:val="20"/>
          <w:szCs w:val="20"/>
        </w:rPr>
      </w:pPr>
      <w:r>
        <w:rPr>
          <w:vertAlign w:val="superscript"/>
        </w:rPr>
        <w:footnoteRef/>
      </w:r>
      <w:r>
        <w:rPr>
          <w:rFonts w:ascii="Times New Roman" w:eastAsia="Times New Roman" w:hAnsi="Times New Roman" w:cs="Times New Roman"/>
          <w:color w:val="000000"/>
          <w:sz w:val="20"/>
          <w:szCs w:val="20"/>
        </w:rPr>
        <w:t xml:space="preserve"> Appunti di Fondamenti della Consulenza Pedagogica, 2023.</w:t>
      </w:r>
    </w:p>
  </w:footnote>
  <w:footnote w:id="10">
    <w:p w14:paraId="155F4917" w14:textId="77777777" w:rsidR="00483739" w:rsidRDefault="00000000">
      <w:pPr>
        <w:pBdr>
          <w:top w:val="nil"/>
          <w:left w:val="nil"/>
          <w:bottom w:val="nil"/>
          <w:right w:val="nil"/>
          <w:between w:val="nil"/>
        </w:pBdr>
        <w:spacing w:after="0" w:line="240" w:lineRule="auto"/>
        <w:jc w:val="both"/>
        <w:rPr>
          <w:rFonts w:ascii="Times New Roman" w:eastAsia="Times New Roman" w:hAnsi="Times New Roman" w:cs="Times New Roman"/>
          <w:color w:val="000000"/>
          <w:sz w:val="20"/>
          <w:szCs w:val="20"/>
        </w:rPr>
      </w:pPr>
      <w:r>
        <w:rPr>
          <w:vertAlign w:val="superscript"/>
        </w:rPr>
        <w:footnoteRef/>
      </w:r>
      <w:r>
        <w:rPr>
          <w:rFonts w:ascii="Times New Roman" w:eastAsia="Times New Roman" w:hAnsi="Times New Roman" w:cs="Times New Roman"/>
          <w:color w:val="000000"/>
          <w:sz w:val="20"/>
          <w:szCs w:val="20"/>
        </w:rPr>
        <w:t xml:space="preserve"> Teorizzata da E. </w:t>
      </w:r>
      <w:proofErr w:type="spellStart"/>
      <w:r>
        <w:rPr>
          <w:rFonts w:ascii="Times New Roman" w:eastAsia="Times New Roman" w:hAnsi="Times New Roman" w:cs="Times New Roman"/>
          <w:color w:val="000000"/>
          <w:sz w:val="20"/>
          <w:szCs w:val="20"/>
        </w:rPr>
        <w:t>Schein</w:t>
      </w:r>
      <w:proofErr w:type="spellEnd"/>
      <w:r>
        <w:rPr>
          <w:rFonts w:ascii="Times New Roman" w:eastAsia="Times New Roman" w:hAnsi="Times New Roman" w:cs="Times New Roman"/>
          <w:color w:val="000000"/>
          <w:sz w:val="20"/>
          <w:szCs w:val="20"/>
        </w:rPr>
        <w:t xml:space="preserve"> in ambito di impresa come quello che succede tra una persona che fornisce aiuta e la persona che lo riceve. E. </w:t>
      </w:r>
      <w:proofErr w:type="spellStart"/>
      <w:r>
        <w:rPr>
          <w:rFonts w:ascii="Times New Roman" w:eastAsia="Times New Roman" w:hAnsi="Times New Roman" w:cs="Times New Roman"/>
          <w:color w:val="000000"/>
          <w:sz w:val="20"/>
          <w:szCs w:val="20"/>
        </w:rPr>
        <w:t>Schein</w:t>
      </w:r>
      <w:proofErr w:type="spellEnd"/>
      <w:r>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i/>
          <w:color w:val="000000"/>
          <w:sz w:val="20"/>
          <w:szCs w:val="20"/>
        </w:rPr>
        <w:t>La consulenza di processo. Come costruire relazioni d’aiuto e promuovere lo sviluppo organizzativo</w:t>
      </w:r>
      <w:r>
        <w:rPr>
          <w:rFonts w:ascii="Times New Roman" w:eastAsia="Times New Roman" w:hAnsi="Times New Roman" w:cs="Times New Roman"/>
          <w:color w:val="000000"/>
          <w:sz w:val="20"/>
          <w:szCs w:val="20"/>
        </w:rPr>
        <w:t>., Raffaello Cortina Edizioni, Milano, 2001.</w:t>
      </w:r>
    </w:p>
  </w:footnote>
  <w:footnote w:id="11">
    <w:p w14:paraId="0383A8E3" w14:textId="77777777" w:rsidR="00483739" w:rsidRDefault="00000000">
      <w:pPr>
        <w:pBdr>
          <w:top w:val="nil"/>
          <w:left w:val="nil"/>
          <w:bottom w:val="nil"/>
          <w:right w:val="nil"/>
          <w:between w:val="nil"/>
        </w:pBdr>
        <w:spacing w:after="0" w:line="240" w:lineRule="auto"/>
        <w:jc w:val="both"/>
        <w:rPr>
          <w:rFonts w:ascii="Times New Roman" w:eastAsia="Times New Roman" w:hAnsi="Times New Roman" w:cs="Times New Roman"/>
          <w:color w:val="000000"/>
          <w:sz w:val="20"/>
          <w:szCs w:val="20"/>
        </w:rPr>
      </w:pPr>
      <w:r>
        <w:rPr>
          <w:vertAlign w:val="superscript"/>
        </w:rPr>
        <w:footnoteRef/>
      </w:r>
      <w:r>
        <w:rPr>
          <w:rFonts w:ascii="Times New Roman" w:eastAsia="Times New Roman" w:hAnsi="Times New Roman" w:cs="Times New Roman"/>
          <w:color w:val="000000"/>
          <w:sz w:val="20"/>
          <w:szCs w:val="20"/>
        </w:rPr>
        <w:t xml:space="preserve"> L. Formenti, </w:t>
      </w:r>
      <w:r>
        <w:rPr>
          <w:rFonts w:ascii="Times New Roman" w:eastAsia="Times New Roman" w:hAnsi="Times New Roman" w:cs="Times New Roman"/>
          <w:i/>
          <w:color w:val="000000"/>
          <w:sz w:val="20"/>
          <w:szCs w:val="20"/>
        </w:rPr>
        <w:t>Re-inventare la famiglia</w:t>
      </w:r>
      <w:r>
        <w:rPr>
          <w:rFonts w:ascii="Times New Roman" w:eastAsia="Times New Roman" w:hAnsi="Times New Roman" w:cs="Times New Roman"/>
          <w:color w:val="000000"/>
          <w:sz w:val="20"/>
          <w:szCs w:val="20"/>
        </w:rPr>
        <w:t xml:space="preserve">, Apogeo </w:t>
      </w:r>
      <w:proofErr w:type="spellStart"/>
      <w:r>
        <w:rPr>
          <w:rFonts w:ascii="Times New Roman" w:eastAsia="Times New Roman" w:hAnsi="Times New Roman" w:cs="Times New Roman"/>
          <w:color w:val="000000"/>
          <w:sz w:val="20"/>
          <w:szCs w:val="20"/>
        </w:rPr>
        <w:t>Education</w:t>
      </w:r>
      <w:proofErr w:type="spellEnd"/>
      <w:r>
        <w:rPr>
          <w:rFonts w:ascii="Times New Roman" w:eastAsia="Times New Roman" w:hAnsi="Times New Roman" w:cs="Times New Roman"/>
          <w:color w:val="000000"/>
          <w:sz w:val="20"/>
          <w:szCs w:val="20"/>
        </w:rPr>
        <w:t>, Milano, 2012.</w:t>
      </w:r>
    </w:p>
    <w:bookmarkStart w:id="1" w:name="_heading=h.gjdgxs" w:colFirst="0" w:colLast="0"/>
    <w:bookmarkEnd w:id="1"/>
  </w:footnote>
  <w:footnote w:id="12">
    <w:p w14:paraId="6CF2C269" w14:textId="77777777" w:rsidR="00483739" w:rsidRDefault="00000000">
      <w:pPr>
        <w:pBdr>
          <w:top w:val="nil"/>
          <w:left w:val="nil"/>
          <w:bottom w:val="nil"/>
          <w:right w:val="nil"/>
          <w:between w:val="nil"/>
        </w:pBdr>
        <w:spacing w:after="0" w:line="240" w:lineRule="auto"/>
        <w:jc w:val="both"/>
        <w:rPr>
          <w:rFonts w:ascii="Times New Roman" w:eastAsia="Times New Roman" w:hAnsi="Times New Roman" w:cs="Times New Roman"/>
          <w:color w:val="000000"/>
          <w:sz w:val="20"/>
          <w:szCs w:val="20"/>
        </w:rPr>
      </w:pPr>
      <w:bookmarkStart w:id="2" w:name="_heading=h.gjdgxs" w:colFirst="0" w:colLast="0"/>
      <w:bookmarkEnd w:id="2"/>
      <w:r>
        <w:rPr>
          <w:vertAlign w:val="superscript"/>
        </w:rPr>
        <w:footnoteRef/>
      </w:r>
      <w:r>
        <w:rPr>
          <w:rFonts w:ascii="Times New Roman" w:eastAsia="Times New Roman" w:hAnsi="Times New Roman" w:cs="Times New Roman"/>
          <w:color w:val="000000"/>
          <w:sz w:val="20"/>
          <w:szCs w:val="20"/>
        </w:rPr>
        <w:t xml:space="preserve"> L. Formenti, </w:t>
      </w:r>
      <w:r>
        <w:rPr>
          <w:rFonts w:ascii="Times New Roman" w:eastAsia="Times New Roman" w:hAnsi="Times New Roman" w:cs="Times New Roman"/>
          <w:i/>
          <w:color w:val="000000"/>
          <w:sz w:val="20"/>
          <w:szCs w:val="20"/>
        </w:rPr>
        <w:t>Formazione e trasformazione</w:t>
      </w:r>
      <w:r>
        <w:rPr>
          <w:rFonts w:ascii="Times New Roman" w:eastAsia="Times New Roman" w:hAnsi="Times New Roman" w:cs="Times New Roman"/>
          <w:color w:val="000000"/>
          <w:sz w:val="20"/>
          <w:szCs w:val="20"/>
        </w:rPr>
        <w:t>, Raffaello Cortina Edizioni, Milano, 2017, p.65.</w:t>
      </w:r>
    </w:p>
  </w:footnote>
  <w:footnote w:id="13">
    <w:p w14:paraId="38192DF5" w14:textId="77777777" w:rsidR="00483739" w:rsidRDefault="00000000">
      <w:pPr>
        <w:pBdr>
          <w:top w:val="nil"/>
          <w:left w:val="nil"/>
          <w:bottom w:val="nil"/>
          <w:right w:val="nil"/>
          <w:between w:val="nil"/>
        </w:pBdr>
        <w:spacing w:after="0" w:line="240" w:lineRule="auto"/>
        <w:jc w:val="both"/>
        <w:rPr>
          <w:rFonts w:ascii="Times New Roman" w:eastAsia="Times New Roman" w:hAnsi="Times New Roman" w:cs="Times New Roman"/>
          <w:color w:val="000000"/>
          <w:sz w:val="20"/>
          <w:szCs w:val="20"/>
        </w:rPr>
      </w:pPr>
      <w:r>
        <w:rPr>
          <w:vertAlign w:val="superscript"/>
        </w:rPr>
        <w:footnoteRef/>
      </w:r>
      <w:r>
        <w:rPr>
          <w:rFonts w:ascii="Times New Roman" w:eastAsia="Times New Roman" w:hAnsi="Times New Roman" w:cs="Times New Roman"/>
          <w:color w:val="000000"/>
          <w:sz w:val="20"/>
          <w:szCs w:val="20"/>
        </w:rPr>
        <w:t xml:space="preserve"> M. Sclavi, </w:t>
      </w:r>
      <w:r>
        <w:rPr>
          <w:rFonts w:ascii="Times New Roman" w:eastAsia="Times New Roman" w:hAnsi="Times New Roman" w:cs="Times New Roman"/>
          <w:i/>
          <w:color w:val="000000"/>
          <w:sz w:val="20"/>
          <w:szCs w:val="20"/>
        </w:rPr>
        <w:t>Arte di ascoltare e mondi possibili</w:t>
      </w:r>
      <w:r>
        <w:rPr>
          <w:rFonts w:ascii="Times New Roman" w:eastAsia="Times New Roman" w:hAnsi="Times New Roman" w:cs="Times New Roman"/>
          <w:color w:val="000000"/>
          <w:sz w:val="20"/>
          <w:szCs w:val="20"/>
        </w:rPr>
        <w:t>, Bruno Mondadori, Torino, 2003, p.232.</w:t>
      </w:r>
    </w:p>
  </w:footnote>
  <w:footnote w:id="14">
    <w:p w14:paraId="3904D490" w14:textId="77777777" w:rsidR="00483739" w:rsidRDefault="00000000">
      <w:pPr>
        <w:pBdr>
          <w:top w:val="nil"/>
          <w:left w:val="nil"/>
          <w:bottom w:val="nil"/>
          <w:right w:val="nil"/>
          <w:between w:val="nil"/>
        </w:pBdr>
        <w:spacing w:after="0" w:line="240" w:lineRule="auto"/>
        <w:jc w:val="both"/>
        <w:rPr>
          <w:rFonts w:ascii="Times New Roman" w:eastAsia="Times New Roman" w:hAnsi="Times New Roman" w:cs="Times New Roman"/>
          <w:color w:val="000000"/>
          <w:sz w:val="20"/>
          <w:szCs w:val="20"/>
        </w:rPr>
      </w:pPr>
      <w:r>
        <w:rPr>
          <w:vertAlign w:val="superscript"/>
        </w:rPr>
        <w:footnoteRef/>
      </w:r>
      <w:r>
        <w:rPr>
          <w:rFonts w:ascii="Times New Roman" w:eastAsia="Times New Roman" w:hAnsi="Times New Roman" w:cs="Times New Roman"/>
          <w:color w:val="000000"/>
          <w:sz w:val="20"/>
          <w:szCs w:val="20"/>
        </w:rPr>
        <w:t xml:space="preserve"> E. Wenger e J. </w:t>
      </w:r>
      <w:proofErr w:type="spellStart"/>
      <w:r>
        <w:rPr>
          <w:rFonts w:ascii="Times New Roman" w:eastAsia="Times New Roman" w:hAnsi="Times New Roman" w:cs="Times New Roman"/>
          <w:color w:val="000000"/>
          <w:sz w:val="20"/>
          <w:szCs w:val="20"/>
        </w:rPr>
        <w:t>Leave</w:t>
      </w:r>
      <w:proofErr w:type="spellEnd"/>
      <w:r>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i/>
          <w:color w:val="000000"/>
          <w:sz w:val="20"/>
          <w:szCs w:val="20"/>
        </w:rPr>
        <w:t>Comunità di pratica. Apprendimento, significato e identità</w:t>
      </w:r>
      <w:r>
        <w:rPr>
          <w:rFonts w:ascii="Times New Roman" w:eastAsia="Times New Roman" w:hAnsi="Times New Roman" w:cs="Times New Roman"/>
          <w:color w:val="000000"/>
          <w:sz w:val="20"/>
          <w:szCs w:val="20"/>
        </w:rPr>
        <w:t>, Raffaello Cortina Editore, Milano, 2006.</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3739"/>
    <w:rsid w:val="001C5DC1"/>
    <w:rsid w:val="003D7C60"/>
    <w:rsid w:val="00483739"/>
    <w:rsid w:val="007B2C25"/>
    <w:rsid w:val="00CE5E5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55933B"/>
  <w15:docId w15:val="{F5BFC6CE-9303-4D34-8641-8A49F31BCB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ptos" w:eastAsia="Aptos" w:hAnsi="Aptos" w:cs="Aptos"/>
        <w:sz w:val="22"/>
        <w:szCs w:val="22"/>
        <w:lang w:val="it-IT" w:eastAsia="it-I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53147"/>
  </w:style>
  <w:style w:type="paragraph" w:styleId="Titolo1">
    <w:name w:val="heading 1"/>
    <w:basedOn w:val="Normale"/>
    <w:next w:val="Normale"/>
    <w:link w:val="Titolo1Carattere"/>
    <w:uiPriority w:val="9"/>
    <w:qFormat/>
    <w:rsid w:val="00A53147"/>
    <w:pPr>
      <w:keepNext/>
      <w:keepLines/>
      <w:spacing w:before="360" w:after="80"/>
      <w:outlineLvl w:val="0"/>
    </w:pPr>
    <w:rPr>
      <w:rFonts w:asciiTheme="majorHAnsi" w:eastAsiaTheme="majorEastAsia" w:hAnsiTheme="majorHAnsi" w:cstheme="majorBidi"/>
      <w:color w:val="0F4761" w:themeColor="accent1" w:themeShade="BF"/>
      <w:kern w:val="2"/>
      <w:sz w:val="40"/>
      <w:szCs w:val="40"/>
    </w:rPr>
  </w:style>
  <w:style w:type="paragraph" w:styleId="Titolo2">
    <w:name w:val="heading 2"/>
    <w:basedOn w:val="Normale"/>
    <w:next w:val="Normale"/>
    <w:link w:val="Titolo2Carattere"/>
    <w:uiPriority w:val="9"/>
    <w:semiHidden/>
    <w:unhideWhenUsed/>
    <w:qFormat/>
    <w:rsid w:val="00A53147"/>
    <w:pPr>
      <w:keepNext/>
      <w:keepLines/>
      <w:spacing w:before="160" w:after="80"/>
      <w:outlineLvl w:val="1"/>
    </w:pPr>
    <w:rPr>
      <w:rFonts w:asciiTheme="majorHAnsi" w:eastAsiaTheme="majorEastAsia" w:hAnsiTheme="majorHAnsi" w:cstheme="majorBidi"/>
      <w:color w:val="0F4761" w:themeColor="accent1" w:themeShade="BF"/>
      <w:kern w:val="2"/>
      <w:sz w:val="32"/>
      <w:szCs w:val="32"/>
    </w:rPr>
  </w:style>
  <w:style w:type="paragraph" w:styleId="Titolo3">
    <w:name w:val="heading 3"/>
    <w:basedOn w:val="Normale"/>
    <w:next w:val="Normale"/>
    <w:link w:val="Titolo3Carattere"/>
    <w:uiPriority w:val="9"/>
    <w:semiHidden/>
    <w:unhideWhenUsed/>
    <w:qFormat/>
    <w:rsid w:val="00A53147"/>
    <w:pPr>
      <w:keepNext/>
      <w:keepLines/>
      <w:spacing w:before="160" w:after="80"/>
      <w:outlineLvl w:val="2"/>
    </w:pPr>
    <w:rPr>
      <w:rFonts w:eastAsiaTheme="majorEastAsia" w:cstheme="majorBidi"/>
      <w:color w:val="0F4761" w:themeColor="accent1" w:themeShade="BF"/>
      <w:kern w:val="2"/>
      <w:sz w:val="28"/>
      <w:szCs w:val="28"/>
    </w:rPr>
  </w:style>
  <w:style w:type="paragraph" w:styleId="Titolo4">
    <w:name w:val="heading 4"/>
    <w:basedOn w:val="Normale"/>
    <w:next w:val="Normale"/>
    <w:link w:val="Titolo4Carattere"/>
    <w:uiPriority w:val="9"/>
    <w:semiHidden/>
    <w:unhideWhenUsed/>
    <w:qFormat/>
    <w:rsid w:val="00A53147"/>
    <w:pPr>
      <w:keepNext/>
      <w:keepLines/>
      <w:spacing w:before="80" w:after="40"/>
      <w:outlineLvl w:val="3"/>
    </w:pPr>
    <w:rPr>
      <w:rFonts w:eastAsiaTheme="majorEastAsia" w:cstheme="majorBidi"/>
      <w:i/>
      <w:iCs/>
      <w:color w:val="0F4761" w:themeColor="accent1" w:themeShade="BF"/>
      <w:kern w:val="2"/>
    </w:rPr>
  </w:style>
  <w:style w:type="paragraph" w:styleId="Titolo5">
    <w:name w:val="heading 5"/>
    <w:basedOn w:val="Normale"/>
    <w:next w:val="Normale"/>
    <w:link w:val="Titolo5Carattere"/>
    <w:uiPriority w:val="9"/>
    <w:semiHidden/>
    <w:unhideWhenUsed/>
    <w:qFormat/>
    <w:rsid w:val="00A53147"/>
    <w:pPr>
      <w:keepNext/>
      <w:keepLines/>
      <w:spacing w:before="80" w:after="40"/>
      <w:outlineLvl w:val="4"/>
    </w:pPr>
    <w:rPr>
      <w:rFonts w:eastAsiaTheme="majorEastAsia" w:cstheme="majorBidi"/>
      <w:color w:val="0F4761" w:themeColor="accent1" w:themeShade="BF"/>
      <w:kern w:val="2"/>
    </w:rPr>
  </w:style>
  <w:style w:type="paragraph" w:styleId="Titolo6">
    <w:name w:val="heading 6"/>
    <w:basedOn w:val="Normale"/>
    <w:next w:val="Normale"/>
    <w:link w:val="Titolo6Carattere"/>
    <w:uiPriority w:val="9"/>
    <w:semiHidden/>
    <w:unhideWhenUsed/>
    <w:qFormat/>
    <w:rsid w:val="00A53147"/>
    <w:pPr>
      <w:keepNext/>
      <w:keepLines/>
      <w:spacing w:before="40" w:after="0"/>
      <w:outlineLvl w:val="5"/>
    </w:pPr>
    <w:rPr>
      <w:rFonts w:eastAsiaTheme="majorEastAsia" w:cstheme="majorBidi"/>
      <w:i/>
      <w:iCs/>
      <w:color w:val="595959" w:themeColor="text1" w:themeTint="A6"/>
      <w:kern w:val="2"/>
    </w:rPr>
  </w:style>
  <w:style w:type="paragraph" w:styleId="Titolo7">
    <w:name w:val="heading 7"/>
    <w:basedOn w:val="Normale"/>
    <w:next w:val="Normale"/>
    <w:link w:val="Titolo7Carattere"/>
    <w:uiPriority w:val="9"/>
    <w:semiHidden/>
    <w:unhideWhenUsed/>
    <w:qFormat/>
    <w:rsid w:val="00A53147"/>
    <w:pPr>
      <w:keepNext/>
      <w:keepLines/>
      <w:spacing w:before="40" w:after="0"/>
      <w:outlineLvl w:val="6"/>
    </w:pPr>
    <w:rPr>
      <w:rFonts w:eastAsiaTheme="majorEastAsia" w:cstheme="majorBidi"/>
      <w:color w:val="595959" w:themeColor="text1" w:themeTint="A6"/>
      <w:kern w:val="2"/>
    </w:rPr>
  </w:style>
  <w:style w:type="paragraph" w:styleId="Titolo8">
    <w:name w:val="heading 8"/>
    <w:basedOn w:val="Normale"/>
    <w:next w:val="Normale"/>
    <w:link w:val="Titolo8Carattere"/>
    <w:uiPriority w:val="9"/>
    <w:semiHidden/>
    <w:unhideWhenUsed/>
    <w:qFormat/>
    <w:rsid w:val="00A53147"/>
    <w:pPr>
      <w:keepNext/>
      <w:keepLines/>
      <w:spacing w:after="0"/>
      <w:outlineLvl w:val="7"/>
    </w:pPr>
    <w:rPr>
      <w:rFonts w:eastAsiaTheme="majorEastAsia" w:cstheme="majorBidi"/>
      <w:i/>
      <w:iCs/>
      <w:color w:val="272727" w:themeColor="text1" w:themeTint="D8"/>
      <w:kern w:val="2"/>
    </w:rPr>
  </w:style>
  <w:style w:type="paragraph" w:styleId="Titolo9">
    <w:name w:val="heading 9"/>
    <w:basedOn w:val="Normale"/>
    <w:next w:val="Normale"/>
    <w:link w:val="Titolo9Carattere"/>
    <w:uiPriority w:val="9"/>
    <w:semiHidden/>
    <w:unhideWhenUsed/>
    <w:qFormat/>
    <w:rsid w:val="00A53147"/>
    <w:pPr>
      <w:keepNext/>
      <w:keepLines/>
      <w:spacing w:after="0"/>
      <w:outlineLvl w:val="8"/>
    </w:pPr>
    <w:rPr>
      <w:rFonts w:eastAsiaTheme="majorEastAsia" w:cstheme="majorBidi"/>
      <w:color w:val="272727" w:themeColor="text1" w:themeTint="D8"/>
      <w:kern w:val="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link w:val="TitoloCarattere"/>
    <w:uiPriority w:val="10"/>
    <w:qFormat/>
    <w:rsid w:val="00A53147"/>
    <w:pPr>
      <w:spacing w:after="80" w:line="240" w:lineRule="auto"/>
      <w:contextualSpacing/>
    </w:pPr>
    <w:rPr>
      <w:rFonts w:asciiTheme="majorHAnsi" w:eastAsiaTheme="majorEastAsia" w:hAnsiTheme="majorHAnsi" w:cstheme="majorBidi"/>
      <w:spacing w:val="-10"/>
      <w:kern w:val="28"/>
      <w:sz w:val="56"/>
      <w:szCs w:val="56"/>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character" w:customStyle="1" w:styleId="Titolo1Carattere">
    <w:name w:val="Titolo 1 Carattere"/>
    <w:basedOn w:val="Carpredefinitoparagrafo"/>
    <w:link w:val="Titolo1"/>
    <w:uiPriority w:val="9"/>
    <w:rsid w:val="00A53147"/>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A53147"/>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A53147"/>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A53147"/>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A53147"/>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A53147"/>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A53147"/>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A53147"/>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A53147"/>
    <w:rPr>
      <w:rFonts w:eastAsiaTheme="majorEastAsia" w:cstheme="majorBidi"/>
      <w:color w:val="272727" w:themeColor="text1" w:themeTint="D8"/>
    </w:rPr>
  </w:style>
  <w:style w:type="character" w:customStyle="1" w:styleId="TitoloCarattere">
    <w:name w:val="Titolo Carattere"/>
    <w:basedOn w:val="Carpredefinitoparagrafo"/>
    <w:link w:val="Titolo"/>
    <w:uiPriority w:val="10"/>
    <w:rsid w:val="00A53147"/>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Pr>
      <w:color w:val="595959"/>
      <w:sz w:val="28"/>
      <w:szCs w:val="28"/>
    </w:rPr>
  </w:style>
  <w:style w:type="character" w:customStyle="1" w:styleId="SottotitoloCarattere">
    <w:name w:val="Sottotitolo Carattere"/>
    <w:basedOn w:val="Carpredefinitoparagrafo"/>
    <w:link w:val="Sottotitolo"/>
    <w:uiPriority w:val="11"/>
    <w:rsid w:val="00A53147"/>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A53147"/>
    <w:pPr>
      <w:spacing w:before="160"/>
      <w:jc w:val="center"/>
    </w:pPr>
    <w:rPr>
      <w:i/>
      <w:iCs/>
      <w:color w:val="404040" w:themeColor="text1" w:themeTint="BF"/>
      <w:kern w:val="2"/>
    </w:rPr>
  </w:style>
  <w:style w:type="character" w:customStyle="1" w:styleId="CitazioneCarattere">
    <w:name w:val="Citazione Carattere"/>
    <w:basedOn w:val="Carpredefinitoparagrafo"/>
    <w:link w:val="Citazione"/>
    <w:uiPriority w:val="29"/>
    <w:rsid w:val="00A53147"/>
    <w:rPr>
      <w:i/>
      <w:iCs/>
      <w:color w:val="404040" w:themeColor="text1" w:themeTint="BF"/>
    </w:rPr>
  </w:style>
  <w:style w:type="paragraph" w:styleId="Paragrafoelenco">
    <w:name w:val="List Paragraph"/>
    <w:basedOn w:val="Normale"/>
    <w:uiPriority w:val="34"/>
    <w:qFormat/>
    <w:rsid w:val="00A53147"/>
    <w:pPr>
      <w:ind w:left="720"/>
      <w:contextualSpacing/>
    </w:pPr>
    <w:rPr>
      <w:kern w:val="2"/>
    </w:rPr>
  </w:style>
  <w:style w:type="character" w:styleId="Enfasiintensa">
    <w:name w:val="Intense Emphasis"/>
    <w:basedOn w:val="Carpredefinitoparagrafo"/>
    <w:uiPriority w:val="21"/>
    <w:qFormat/>
    <w:rsid w:val="00A53147"/>
    <w:rPr>
      <w:i/>
      <w:iCs/>
      <w:color w:val="0F4761" w:themeColor="accent1" w:themeShade="BF"/>
    </w:rPr>
  </w:style>
  <w:style w:type="paragraph" w:styleId="Citazioneintensa">
    <w:name w:val="Intense Quote"/>
    <w:basedOn w:val="Normale"/>
    <w:next w:val="Normale"/>
    <w:link w:val="CitazioneintensaCarattere"/>
    <w:uiPriority w:val="30"/>
    <w:qFormat/>
    <w:rsid w:val="00A5314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kern w:val="2"/>
    </w:rPr>
  </w:style>
  <w:style w:type="character" w:customStyle="1" w:styleId="CitazioneintensaCarattere">
    <w:name w:val="Citazione intensa Carattere"/>
    <w:basedOn w:val="Carpredefinitoparagrafo"/>
    <w:link w:val="Citazioneintensa"/>
    <w:uiPriority w:val="30"/>
    <w:rsid w:val="00A53147"/>
    <w:rPr>
      <w:i/>
      <w:iCs/>
      <w:color w:val="0F4761" w:themeColor="accent1" w:themeShade="BF"/>
    </w:rPr>
  </w:style>
  <w:style w:type="character" w:styleId="Riferimentointenso">
    <w:name w:val="Intense Reference"/>
    <w:basedOn w:val="Carpredefinitoparagrafo"/>
    <w:uiPriority w:val="32"/>
    <w:qFormat/>
    <w:rsid w:val="00A53147"/>
    <w:rPr>
      <w:b/>
      <w:bCs/>
      <w:smallCaps/>
      <w:color w:val="0F4761" w:themeColor="accent1" w:themeShade="BF"/>
      <w:spacing w:val="5"/>
    </w:rPr>
  </w:style>
  <w:style w:type="paragraph" w:styleId="Testonotaapidipagina">
    <w:name w:val="footnote text"/>
    <w:basedOn w:val="Normale"/>
    <w:link w:val="TestonotaapidipaginaCarattere"/>
    <w:uiPriority w:val="99"/>
    <w:unhideWhenUsed/>
    <w:rsid w:val="003B530E"/>
    <w:pPr>
      <w:spacing w:after="0" w:line="240" w:lineRule="auto"/>
    </w:pPr>
    <w:rPr>
      <w:kern w:val="2"/>
      <w:sz w:val="20"/>
      <w:szCs w:val="20"/>
    </w:rPr>
  </w:style>
  <w:style w:type="character" w:customStyle="1" w:styleId="TestonotaapidipaginaCarattere">
    <w:name w:val="Testo nota a piè di pagina Carattere"/>
    <w:basedOn w:val="Carpredefinitoparagrafo"/>
    <w:link w:val="Testonotaapidipagina"/>
    <w:uiPriority w:val="99"/>
    <w:rsid w:val="003B530E"/>
    <w:rPr>
      <w:sz w:val="20"/>
      <w:szCs w:val="20"/>
    </w:rPr>
  </w:style>
  <w:style w:type="character" w:styleId="Rimandonotaapidipagina">
    <w:name w:val="footnote reference"/>
    <w:basedOn w:val="Carpredefinitoparagrafo"/>
    <w:uiPriority w:val="99"/>
    <w:semiHidden/>
    <w:unhideWhenUsed/>
    <w:rsid w:val="003B530E"/>
    <w:rPr>
      <w:vertAlign w:val="superscript"/>
    </w:rPr>
  </w:style>
  <w:style w:type="character" w:styleId="Collegamentoipertestuale">
    <w:name w:val="Hyperlink"/>
    <w:basedOn w:val="Carpredefinitoparagrafo"/>
    <w:uiPriority w:val="99"/>
    <w:unhideWhenUsed/>
    <w:rsid w:val="00023F38"/>
    <w:rPr>
      <w:color w:val="467886" w:themeColor="hyperlink"/>
      <w:u w:val="single"/>
    </w:rPr>
  </w:style>
  <w:style w:type="character" w:styleId="Menzionenonrisolta">
    <w:name w:val="Unresolved Mention"/>
    <w:basedOn w:val="Carpredefinitoparagrafo"/>
    <w:uiPriority w:val="99"/>
    <w:semiHidden/>
    <w:unhideWhenUsed/>
    <w:rsid w:val="00023F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casadellacarita.org/notizie/un-giardino-zen-per-teresa-pomodoro/"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geapolis.eu/pensieri-in-briciole-aprile-2016/"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footnotes.xml.rels><?xml version="1.0" encoding="UTF-8" standalone="yes"?>
<Relationships xmlns="http://schemas.openxmlformats.org/package/2006/relationships"><Relationship Id="rId2" Type="http://schemas.openxmlformats.org/officeDocument/2006/relationships/hyperlink" Target="https://geapolis.eu/pensieri-in-briciole-aprile-2016/" TargetMode="External"/><Relationship Id="rId1" Type="http://schemas.openxmlformats.org/officeDocument/2006/relationships/hyperlink" Target="https://www.casadellacarita.org/notizie/un-giardino-zen-per-teresa-pomodoro/"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pBRA7dcYns2PQsXyGSUQ4SPiPgw==">CgMxLjAyCWguMzBqMHpsbDIIaC5namRneHM4AHIhMUtSMHVDbksyNnlMR3FZRWlRR0RBdHZCSnpUTjBEaVph</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10</Pages>
  <Words>3570</Words>
  <Characters>20349</Characters>
  <Application>Microsoft Office Word</Application>
  <DocSecurity>0</DocSecurity>
  <Lines>169</Lines>
  <Paragraphs>47</Paragraphs>
  <ScaleCrop>false</ScaleCrop>
  <Company/>
  <LinksUpToDate>false</LinksUpToDate>
  <CharactersWithSpaces>23872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Paola Eginardo</dc:creator>
  <cp:lastModifiedBy>Paola Eginardo</cp:lastModifiedBy>
  <cp:revision>3</cp:revision>
  <dcterms:created xsi:type="dcterms:W3CDTF">2025-01-02T16:02:00Z</dcterms:created>
  <dcterms:modified xsi:type="dcterms:W3CDTF">2025-01-02T16:04:00Z</dcterms:modified>
</cp:coreProperties>
</file>