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8DAA04" w14:textId="77777777" w:rsidR="00433C8D" w:rsidRDefault="00F61428">
      <w:pPr>
        <w:pStyle w:val="Normale3"/>
        <w:spacing w:line="240" w:lineRule="auto"/>
        <w:ind w:firstLine="140"/>
        <w:jc w:val="both"/>
        <w:rPr>
          <w:sz w:val="32"/>
          <w:szCs w:val="32"/>
        </w:rPr>
      </w:pPr>
      <w:r>
        <w:rPr>
          <w:noProof/>
          <w:sz w:val="32"/>
          <w:szCs w:val="32"/>
        </w:rPr>
        <w:drawing>
          <wp:inline distT="114300" distB="114300" distL="114300" distR="114300" wp14:anchorId="45199635" wp14:editId="01A45982">
            <wp:extent cx="1590675" cy="15621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590675" cy="1562100"/>
                    </a:xfrm>
                    <a:prstGeom prst="rect">
                      <a:avLst/>
                    </a:prstGeom>
                    <a:ln/>
                  </pic:spPr>
                </pic:pic>
              </a:graphicData>
            </a:graphic>
          </wp:inline>
        </w:drawing>
      </w:r>
    </w:p>
    <w:p w14:paraId="5AC044CD" w14:textId="77777777" w:rsidR="00433C8D" w:rsidRDefault="003A01A8">
      <w:pPr>
        <w:pStyle w:val="Normale3"/>
        <w:spacing w:line="240" w:lineRule="auto"/>
        <w:ind w:firstLine="140"/>
        <w:jc w:val="both"/>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w:t>
      </w:r>
      <w:r w:rsidR="00F61428">
        <w:rPr>
          <w:rFonts w:ascii="Times New Roman" w:eastAsia="Times New Roman" w:hAnsi="Times New Roman" w:cs="Times New Roman"/>
          <w:sz w:val="32"/>
          <w:szCs w:val="32"/>
        </w:rPr>
        <w:t xml:space="preserve"> Tirocinio Formativo e di Orientamento</w:t>
      </w:r>
    </w:p>
    <w:p w14:paraId="1D1C5526" w14:textId="77777777" w:rsidR="00433C8D" w:rsidRDefault="00F61428">
      <w:pPr>
        <w:pStyle w:val="Normale3"/>
        <w:spacing w:line="240" w:lineRule="auto"/>
        <w:ind w:firstLine="140"/>
        <w:jc w:val="both"/>
        <w:rPr>
          <w:rFonts w:ascii="Times New Roman" w:eastAsia="Times New Roman" w:hAnsi="Times New Roman" w:cs="Times New Roman"/>
          <w:i/>
        </w:rPr>
      </w:pPr>
      <w:r>
        <w:rPr>
          <w:rFonts w:ascii="Times New Roman" w:eastAsia="Times New Roman" w:hAnsi="Times New Roman" w:cs="Times New Roman"/>
          <w:sz w:val="32"/>
          <w:szCs w:val="32"/>
        </w:rPr>
        <w:t xml:space="preserve">                                </w:t>
      </w:r>
      <w:r>
        <w:rPr>
          <w:rFonts w:ascii="Times New Roman" w:eastAsia="Times New Roman" w:hAnsi="Times New Roman" w:cs="Times New Roman"/>
          <w:i/>
        </w:rPr>
        <w:t>Corso di Laurea Magistrale in Scienze Pedagogiche</w:t>
      </w:r>
    </w:p>
    <w:p w14:paraId="62FB6320" w14:textId="77777777" w:rsidR="00433C8D" w:rsidRDefault="00F61428">
      <w:pPr>
        <w:pStyle w:val="Normale3"/>
        <w:spacing w:line="240" w:lineRule="auto"/>
        <w:ind w:firstLine="140"/>
        <w:jc w:val="both"/>
        <w:rPr>
          <w:rFonts w:ascii="Times New Roman" w:eastAsia="Times New Roman" w:hAnsi="Times New Roman" w:cs="Times New Roman"/>
          <w:i/>
        </w:rPr>
      </w:pPr>
      <w:r>
        <w:rPr>
          <w:rFonts w:ascii="Times New Roman" w:eastAsia="Times New Roman" w:hAnsi="Times New Roman" w:cs="Times New Roman"/>
          <w:i/>
        </w:rPr>
        <w:t xml:space="preserve">  </w:t>
      </w:r>
      <w:r>
        <w:rPr>
          <w:rFonts w:ascii="Times New Roman" w:eastAsia="Times New Roman" w:hAnsi="Times New Roman" w:cs="Times New Roman"/>
          <w:i/>
        </w:rPr>
        <w:tab/>
      </w:r>
      <w:r>
        <w:rPr>
          <w:rFonts w:ascii="Times New Roman" w:eastAsia="Times New Roman" w:hAnsi="Times New Roman" w:cs="Times New Roman"/>
          <w:i/>
        </w:rPr>
        <w:tab/>
      </w:r>
      <w:r>
        <w:rPr>
          <w:rFonts w:ascii="Times New Roman" w:eastAsia="Times New Roman" w:hAnsi="Times New Roman" w:cs="Times New Roman"/>
          <w:i/>
        </w:rPr>
        <w:tab/>
        <w:t xml:space="preserve">         Dipartimento di Scienze Umane per la Formazione “Riccardo Massa”</w:t>
      </w:r>
    </w:p>
    <w:p w14:paraId="6116B809" w14:textId="77777777" w:rsidR="00433C8D" w:rsidRDefault="00F61428">
      <w:pPr>
        <w:pStyle w:val="Normale3"/>
        <w:spacing w:line="240" w:lineRule="auto"/>
        <w:ind w:firstLine="140"/>
        <w:jc w:val="both"/>
        <w:rPr>
          <w:rFonts w:ascii="Times New Roman" w:eastAsia="Times New Roman" w:hAnsi="Times New Roman" w:cs="Times New Roman"/>
          <w:i/>
        </w:rPr>
      </w:pPr>
      <w:r>
        <w:rPr>
          <w:rFonts w:ascii="Times New Roman" w:eastAsia="Times New Roman" w:hAnsi="Times New Roman" w:cs="Times New Roman"/>
          <w:i/>
        </w:rPr>
        <w:tab/>
      </w:r>
      <w:r>
        <w:rPr>
          <w:rFonts w:ascii="Times New Roman" w:eastAsia="Times New Roman" w:hAnsi="Times New Roman" w:cs="Times New Roman"/>
          <w:i/>
        </w:rPr>
        <w:tab/>
      </w:r>
      <w:r>
        <w:rPr>
          <w:rFonts w:ascii="Times New Roman" w:eastAsia="Times New Roman" w:hAnsi="Times New Roman" w:cs="Times New Roman"/>
          <w:i/>
        </w:rPr>
        <w:tab/>
        <w:t xml:space="preserve">         Università degli Studi di Milano - Bicocca</w:t>
      </w:r>
    </w:p>
    <w:p w14:paraId="3F9F2350" w14:textId="77777777" w:rsidR="00433C8D" w:rsidRDefault="00433C8D">
      <w:pPr>
        <w:pStyle w:val="Normale3"/>
        <w:spacing w:line="240" w:lineRule="auto"/>
        <w:ind w:firstLine="140"/>
        <w:rPr>
          <w:rFonts w:ascii="Times New Roman" w:eastAsia="Times New Roman" w:hAnsi="Times New Roman" w:cs="Times New Roman"/>
          <w:i/>
          <w:sz w:val="24"/>
          <w:szCs w:val="24"/>
        </w:rPr>
      </w:pPr>
    </w:p>
    <w:p w14:paraId="571A7912" w14:textId="77777777" w:rsidR="00433C8D" w:rsidRDefault="00F61428">
      <w:pPr>
        <w:pStyle w:val="Normale3"/>
        <w:spacing w:line="240" w:lineRule="auto"/>
        <w:ind w:left="270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2DA38C8B" w14:textId="77777777" w:rsidR="00433C8D" w:rsidRDefault="00F61428">
      <w:pPr>
        <w:pStyle w:val="Normale3"/>
        <w:ind w:left="270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765384A3" w14:textId="77777777" w:rsidR="00433C8D" w:rsidRDefault="00F61428">
      <w:pPr>
        <w:pStyle w:val="Normale3"/>
        <w:ind w:left="2700"/>
        <w:jc w:val="both"/>
        <w:rPr>
          <w:rFonts w:ascii="Times New Roman" w:eastAsia="Times New Roman" w:hAnsi="Times New Roman" w:cs="Times New Roman"/>
          <w:b/>
          <w:sz w:val="24"/>
          <w:szCs w:val="24"/>
        </w:rPr>
      </w:pPr>
      <w:r>
        <w:rPr>
          <w:rFonts w:ascii="Times New Roman" w:eastAsia="Times New Roman" w:hAnsi="Times New Roman" w:cs="Times New Roman"/>
          <w:i/>
          <w:sz w:val="24"/>
          <w:szCs w:val="24"/>
        </w:rPr>
        <w:t xml:space="preserve"> </w:t>
      </w:r>
      <w:r>
        <w:rPr>
          <w:rFonts w:ascii="Times New Roman" w:eastAsia="Times New Roman" w:hAnsi="Times New Roman" w:cs="Times New Roman"/>
          <w:b/>
          <w:sz w:val="24"/>
          <w:szCs w:val="24"/>
        </w:rPr>
        <w:t>Workshop anno accademico 2024/25</w:t>
      </w:r>
    </w:p>
    <w:p w14:paraId="7D1460BD" w14:textId="77777777" w:rsidR="00433C8D" w:rsidRDefault="00F61428">
      <w:pPr>
        <w:pStyle w:val="Normale3"/>
        <w:spacing w:before="240"/>
        <w:jc w:val="center"/>
        <w:rPr>
          <w:rFonts w:ascii="Times New Roman" w:eastAsia="Times New Roman" w:hAnsi="Times New Roman" w:cs="Times New Roman"/>
          <w:b/>
          <w:i/>
          <w:sz w:val="28"/>
          <w:szCs w:val="28"/>
        </w:rPr>
      </w:pPr>
      <w:r>
        <w:rPr>
          <w:rFonts w:ascii="Times New Roman" w:eastAsia="Times New Roman" w:hAnsi="Times New Roman" w:cs="Times New Roman"/>
          <w:b/>
          <w:sz w:val="28"/>
          <w:szCs w:val="28"/>
        </w:rPr>
        <w:t xml:space="preserve"> </w:t>
      </w:r>
      <w:r>
        <w:rPr>
          <w:rFonts w:ascii="Times New Roman" w:eastAsia="Times New Roman" w:hAnsi="Times New Roman" w:cs="Times New Roman"/>
          <w:b/>
          <w:i/>
          <w:color w:val="212529"/>
          <w:sz w:val="28"/>
          <w:szCs w:val="28"/>
        </w:rPr>
        <w:t>Coordinare con cura: strumenti e strategie per il Servizio Affidi</w:t>
      </w:r>
    </w:p>
    <w:p w14:paraId="11D038DC" w14:textId="01305414" w:rsidR="00433C8D" w:rsidRDefault="00F61428">
      <w:pPr>
        <w:pStyle w:val="Normale3"/>
        <w:spacing w:before="2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22/11/2024, </w:t>
      </w:r>
      <w:r w:rsidR="00EE03BA">
        <w:rPr>
          <w:rFonts w:ascii="Times New Roman" w:eastAsia="Times New Roman" w:hAnsi="Times New Roman" w:cs="Times New Roman"/>
          <w:sz w:val="24"/>
          <w:szCs w:val="24"/>
        </w:rPr>
        <w:t xml:space="preserve">Fondazione FATA onlus, </w:t>
      </w:r>
      <w:r>
        <w:rPr>
          <w:rFonts w:ascii="Times New Roman" w:eastAsia="Times New Roman" w:hAnsi="Times New Roman" w:cs="Times New Roman"/>
          <w:sz w:val="24"/>
          <w:szCs w:val="24"/>
        </w:rPr>
        <w:t>Cesano Boscone (M</w:t>
      </w:r>
      <w:r w:rsidR="00EE03BA">
        <w:rPr>
          <w:rFonts w:ascii="Times New Roman" w:eastAsia="Times New Roman" w:hAnsi="Times New Roman" w:cs="Times New Roman"/>
          <w:sz w:val="24"/>
          <w:szCs w:val="24"/>
        </w:rPr>
        <w:t>I</w:t>
      </w:r>
      <w:r>
        <w:rPr>
          <w:rFonts w:ascii="Times New Roman" w:eastAsia="Times New Roman" w:hAnsi="Times New Roman" w:cs="Times New Roman"/>
          <w:sz w:val="24"/>
          <w:szCs w:val="24"/>
        </w:rPr>
        <w:t>)</w:t>
      </w:r>
    </w:p>
    <w:p w14:paraId="7C220FAF" w14:textId="77777777" w:rsidR="00433C8D" w:rsidRDefault="00F61428">
      <w:pPr>
        <w:pStyle w:val="Normale3"/>
        <w:ind w:left="270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41C09C84" w14:textId="77777777" w:rsidR="00433C8D" w:rsidRDefault="00F61428">
      <w:pPr>
        <w:pStyle w:val="Normale3"/>
        <w:spacing w:before="24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Conduttrici</w:t>
      </w:r>
    </w:p>
    <w:p w14:paraId="15415C2E" w14:textId="262EAB00" w:rsidR="00433C8D" w:rsidRDefault="00F61428">
      <w:pPr>
        <w:pStyle w:val="Normale3"/>
        <w:spacing w:before="240"/>
        <w:jc w:val="both"/>
        <w:rPr>
          <w:rFonts w:ascii="Times New Roman" w:eastAsia="Times New Roman" w:hAnsi="Times New Roman" w:cs="Times New Roman"/>
          <w:sz w:val="24"/>
          <w:szCs w:val="24"/>
        </w:rPr>
      </w:pPr>
      <w:r w:rsidRPr="00EE03BA">
        <w:rPr>
          <w:rFonts w:ascii="Times New Roman" w:eastAsia="Times New Roman" w:hAnsi="Times New Roman" w:cs="Times New Roman"/>
          <w:iCs/>
          <w:sz w:val="24"/>
          <w:szCs w:val="24"/>
        </w:rPr>
        <w:t xml:space="preserve">Dott.ssa Marta Orsini e Dott.ssa Jessica </w:t>
      </w:r>
      <w:proofErr w:type="spellStart"/>
      <w:r w:rsidRPr="00EE03BA">
        <w:rPr>
          <w:rFonts w:ascii="Times New Roman" w:eastAsia="Times New Roman" w:hAnsi="Times New Roman" w:cs="Times New Roman"/>
          <w:iCs/>
          <w:sz w:val="24"/>
          <w:szCs w:val="24"/>
        </w:rPr>
        <w:t>Piccinali</w:t>
      </w:r>
      <w:proofErr w:type="spellEnd"/>
      <w:r w:rsidRPr="00EE03BA">
        <w:rPr>
          <w:rFonts w:ascii="Times New Roman" w:eastAsia="Times New Roman" w:hAnsi="Times New Roman" w:cs="Times New Roman"/>
          <w:iCs/>
          <w:sz w:val="24"/>
          <w:szCs w:val="24"/>
        </w:rPr>
        <w:t>,</w:t>
      </w:r>
      <w:r>
        <w:rPr>
          <w:rFonts w:ascii="Times New Roman" w:eastAsia="Times New Roman" w:hAnsi="Times New Roman" w:cs="Times New Roman"/>
          <w:i/>
          <w:sz w:val="24"/>
          <w:szCs w:val="24"/>
        </w:rPr>
        <w:t xml:space="preserve"> </w:t>
      </w:r>
      <w:r w:rsidR="00EE03BA">
        <w:rPr>
          <w:rFonts w:ascii="Times New Roman" w:eastAsia="Times New Roman" w:hAnsi="Times New Roman" w:cs="Times New Roman"/>
          <w:sz w:val="24"/>
          <w:szCs w:val="24"/>
        </w:rPr>
        <w:t>Fondazione FATA</w:t>
      </w:r>
      <w:r>
        <w:rPr>
          <w:rFonts w:ascii="Times New Roman" w:eastAsia="Times New Roman" w:hAnsi="Times New Roman" w:cs="Times New Roman"/>
          <w:sz w:val="24"/>
          <w:szCs w:val="24"/>
        </w:rPr>
        <w:t xml:space="preserve"> Onlus</w:t>
      </w:r>
    </w:p>
    <w:p w14:paraId="077A1D97" w14:textId="77777777" w:rsidR="00433C8D" w:rsidRDefault="00F61428">
      <w:pPr>
        <w:pStyle w:val="Normale3"/>
        <w:spacing w:before="24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p w14:paraId="72CDEB44" w14:textId="77777777" w:rsidR="00433C8D" w:rsidRDefault="00F61428">
      <w:pPr>
        <w:pStyle w:val="Normale3"/>
        <w:spacing w:before="24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60C77F7F"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Silvia </w:t>
      </w:r>
      <w:proofErr w:type="spellStart"/>
      <w:r>
        <w:rPr>
          <w:rFonts w:ascii="Times New Roman" w:eastAsia="Times New Roman" w:hAnsi="Times New Roman" w:cs="Times New Roman"/>
          <w:sz w:val="24"/>
          <w:szCs w:val="24"/>
        </w:rPr>
        <w:t>Ballarati</w:t>
      </w:r>
      <w:proofErr w:type="spellEnd"/>
    </w:p>
    <w:p w14:paraId="60730546"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Miriam Bianchi</w:t>
      </w:r>
    </w:p>
    <w:p w14:paraId="379E3BFA"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Gaia Cavallaro</w:t>
      </w:r>
    </w:p>
    <w:p w14:paraId="4C6FAEBA"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Irene Ciuffreda</w:t>
      </w:r>
    </w:p>
    <w:p w14:paraId="738EE54B"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Claudia Lomazzi</w:t>
      </w:r>
    </w:p>
    <w:p w14:paraId="4BFF5246"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Giada Alessia Lugli</w:t>
      </w:r>
    </w:p>
    <w:p w14:paraId="1D043427"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Elena Ponti</w:t>
      </w:r>
    </w:p>
    <w:p w14:paraId="45518526" w14:textId="77777777" w:rsidR="00433C8D" w:rsidRDefault="00F61428">
      <w:pPr>
        <w:pStyle w:val="Normale3"/>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Niccolò Terragni</w:t>
      </w:r>
    </w:p>
    <w:p w14:paraId="636DD97F" w14:textId="77777777" w:rsidR="00433C8D" w:rsidRDefault="00F61428">
      <w:pPr>
        <w:pStyle w:val="Normale3"/>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83DBD0C" w14:textId="77777777" w:rsidR="00433C8D" w:rsidRDefault="00433C8D">
      <w:pPr>
        <w:pStyle w:val="Normale3"/>
        <w:spacing w:before="240" w:after="240"/>
        <w:jc w:val="both"/>
        <w:rPr>
          <w:rFonts w:ascii="Times New Roman" w:eastAsia="Times New Roman" w:hAnsi="Times New Roman" w:cs="Times New Roman"/>
          <w:sz w:val="24"/>
          <w:szCs w:val="24"/>
        </w:rPr>
      </w:pPr>
    </w:p>
    <w:p w14:paraId="438A3C04" w14:textId="77777777" w:rsidR="00433C8D" w:rsidRDefault="00433C8D">
      <w:pPr>
        <w:pStyle w:val="Titolo3"/>
        <w:keepNext w:val="0"/>
        <w:keepLines w:val="0"/>
        <w:shd w:val="clear" w:color="auto" w:fill="FFFFFF"/>
        <w:spacing w:before="280"/>
        <w:jc w:val="both"/>
      </w:pPr>
      <w:bookmarkStart w:id="0" w:name="_gjdgxs" w:colFirst="0" w:colLast="0"/>
      <w:bookmarkEnd w:id="0"/>
    </w:p>
    <w:p w14:paraId="292D4A4F" w14:textId="77777777" w:rsidR="00433C8D" w:rsidRDefault="00433C8D">
      <w:pPr>
        <w:pStyle w:val="Normale3"/>
      </w:pPr>
    </w:p>
    <w:p w14:paraId="49887EE8" w14:textId="77777777" w:rsidR="00433C8D" w:rsidRDefault="00433C8D">
      <w:pPr>
        <w:pStyle w:val="Normale3"/>
      </w:pPr>
    </w:p>
    <w:p w14:paraId="14796BB1" w14:textId="77777777" w:rsidR="00433C8D" w:rsidRDefault="00433C8D">
      <w:pPr>
        <w:pStyle w:val="Normale3"/>
        <w:spacing w:line="360" w:lineRule="auto"/>
        <w:jc w:val="both"/>
        <w:rPr>
          <w:rFonts w:ascii="Times New Roman" w:eastAsia="Times New Roman" w:hAnsi="Times New Roman" w:cs="Times New Roman"/>
          <w:b/>
          <w:sz w:val="24"/>
          <w:szCs w:val="24"/>
        </w:rPr>
      </w:pPr>
    </w:p>
    <w:p w14:paraId="11251DE0" w14:textId="77777777" w:rsidR="00433C8D" w:rsidRDefault="00433C8D">
      <w:pPr>
        <w:pStyle w:val="Normale3"/>
        <w:spacing w:line="360" w:lineRule="auto"/>
        <w:jc w:val="both"/>
        <w:rPr>
          <w:rFonts w:ascii="Times New Roman" w:eastAsia="Times New Roman" w:hAnsi="Times New Roman" w:cs="Times New Roman"/>
          <w:b/>
          <w:sz w:val="24"/>
          <w:szCs w:val="24"/>
        </w:rPr>
      </w:pPr>
    </w:p>
    <w:p w14:paraId="57F7D32B" w14:textId="77777777" w:rsidR="00433C8D" w:rsidRDefault="00F61428">
      <w:pPr>
        <w:pStyle w:val="Normale3"/>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Contenuti trattati nel Workshop</w:t>
      </w:r>
    </w:p>
    <w:p w14:paraId="478C7D46"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Fondazione FATA Onlus è una Fondazione milanese che si occupa dell’accoglienza di minori allontanati dalle famiglie per decreto del Tribunale della Famiglia. L’accoglienza dei minori avviene in comunità educative e, al compimento della maggiore età, in un alloggio per l’autonomia. Fata Onlus offre molti servizi, tra cui il centro diurno, il servizio di Spazio Neutro, supporto psicologico, sportello di inclusione sociale e mediazione “Mappamondo” e affido familiare.</w:t>
      </w:r>
    </w:p>
    <w:p w14:paraId="73AECF40" w14:textId="1C32AEDB"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workshop</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svoltosi in data 22/11/2024 dal titolo “Coordinare con cura: strumenti e strategie per il servizio affidi”</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ha avuto come oggetto di approfondimento il tema dell’affido familiare.</w:t>
      </w:r>
    </w:p>
    <w:p w14:paraId="1451CEE0"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Grazie all’impegno e al lavoro dei volontari nelle comunità educative del territorio, la Fondazione ha sviluppato il servizio affido familiare. Infatti, alcuni volontari presenti nelle comunità hanno mostrato attenzione e interesse verso i minori e la Fondazione ha proposto loro di diventare affidatari.</w:t>
      </w:r>
    </w:p>
    <w:p w14:paraId="217A2E56" w14:textId="13C10C7C"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L’affido familiare è un provvedimento temporaneo (</w:t>
      </w:r>
      <w:r w:rsidR="00EE03BA">
        <w:rPr>
          <w:rFonts w:ascii="Times New Roman" w:eastAsia="Times New Roman" w:hAnsi="Times New Roman" w:cs="Times New Roman"/>
          <w:sz w:val="24"/>
          <w:szCs w:val="24"/>
        </w:rPr>
        <w:t>due</w:t>
      </w:r>
      <w:r>
        <w:rPr>
          <w:rFonts w:ascii="Times New Roman" w:eastAsia="Times New Roman" w:hAnsi="Times New Roman" w:cs="Times New Roman"/>
          <w:sz w:val="24"/>
          <w:szCs w:val="24"/>
        </w:rPr>
        <w:t xml:space="preserve"> anni rinnovabili), mediante il quale il minore viene accolto presso una famiglia o affidato presso una singola persona nel caso in cui la famiglia sia in un momento di difficoltà e non riesca a garantire il soddisfacimento dei bisogni del minore. In questo lasso di tempo la famiglia di origine dovrebbe intraprendere un percorso di potenziamento delle capacità genitoriali, con lo scopo del reinserimento del minore.</w:t>
      </w:r>
    </w:p>
    <w:p w14:paraId="67504D3E"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differenza di quanto accade per l’adozione, l’affidamento prevede che anche un adulto single possa accogliere un minore; tale soluzione è preferibile quando il minore è un adolescente o abbia subito traumi legati alla coppia genitoriale.</w:t>
      </w:r>
    </w:p>
    <w:p w14:paraId="0EB01F9D"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Quando una famiglia attraversa un momento di difficoltà di carattere transitorio e presumibilmente superabile, esistono tre tipologie di intervento:</w:t>
      </w:r>
    </w:p>
    <w:p w14:paraId="15B98695" w14:textId="77777777" w:rsidR="00433C8D" w:rsidRDefault="00F61428">
      <w:pPr>
        <w:pStyle w:val="Normale3"/>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affido etero familiare: il collocamento del minore avviene presso una famiglia con cui non ha legami di parentela;</w:t>
      </w:r>
    </w:p>
    <w:p w14:paraId="096CAC9E" w14:textId="77777777" w:rsidR="00433C8D" w:rsidRDefault="00F61428">
      <w:pPr>
        <w:pStyle w:val="Normale3"/>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affido intrafamiliare: il collocamento del minore avviene presso familiari (entro il quarto grado di parentela), in un’ottica di salvaguardia delle relazioni. I familiari del nucleo disfunzionale devono prendere le distanze dai genitori naturali poiché ci devono essere garanzie di tutela del minore;</w:t>
      </w:r>
    </w:p>
    <w:p w14:paraId="2926DC80" w14:textId="77777777" w:rsidR="00433C8D" w:rsidRDefault="00F61428">
      <w:pPr>
        <w:pStyle w:val="Normale3"/>
        <w:numPr>
          <w:ilvl w:val="0"/>
          <w:numId w:val="1"/>
        </w:num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collocamento in comunità.</w:t>
      </w:r>
    </w:p>
    <w:p w14:paraId="52E5EFB1" w14:textId="77777777" w:rsidR="00433C8D" w:rsidRDefault="00433C8D">
      <w:pPr>
        <w:pStyle w:val="Normale3"/>
        <w:spacing w:line="360" w:lineRule="auto"/>
        <w:jc w:val="both"/>
        <w:rPr>
          <w:rFonts w:ascii="Times New Roman" w:eastAsia="Times New Roman" w:hAnsi="Times New Roman" w:cs="Times New Roman"/>
          <w:sz w:val="24"/>
          <w:szCs w:val="24"/>
        </w:rPr>
      </w:pPr>
    </w:p>
    <w:p w14:paraId="5A29474B"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Sono previste due tipologie di affidamento, l’affidamento a tempo pieno e l’affidamento a tempo parziale. L’affidamento a tempo pieno prevede che il minore viva con la famiglia affidataria, mantenendo però i rapporti con la famiglia di origine. L’affidamento a tempo </w:t>
      </w:r>
      <w:r>
        <w:rPr>
          <w:rFonts w:ascii="Times New Roman" w:eastAsia="Times New Roman" w:hAnsi="Times New Roman" w:cs="Times New Roman"/>
          <w:sz w:val="24"/>
          <w:szCs w:val="24"/>
        </w:rPr>
        <w:lastRenderedPageBreak/>
        <w:t>parziale, o famiglia appoggio (come nel caso dell’affido diurno), prevede che il minore trascorra parte della giornata con la famiglia affidataria, mentre il resto del tempo in comunità o nella sua famiglia di origine. Le famiglie appoggio accolgono i minori anche nei casi di emergenza, ad esempio fornendo accoglienza notturna quando il minore deve essere allontanato con urgenza dal nucleo familiare di origine e le comunità hanno una disponibilità esclusivamente diurna.</w:t>
      </w:r>
    </w:p>
    <w:p w14:paraId="7CA0FAF5"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L’affido può essere consensuale o giudiziario. Nel primo caso i genitori naturali sono d’accordo che il figlio venga affidato a un’altra famiglia; nel secondo, l’affido viene predisposto dal Tribunale con un decreto.</w:t>
      </w:r>
    </w:p>
    <w:p w14:paraId="46C88CBA" w14:textId="29E0228C"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percorso di affidamento prevede il coinvolgimento di molte figure</w:t>
      </w:r>
      <w:r w:rsidR="00EE03BA">
        <w:rPr>
          <w:rFonts w:ascii="Times New Roman" w:eastAsia="Times New Roman" w:hAnsi="Times New Roman" w:cs="Times New Roman"/>
          <w:sz w:val="24"/>
          <w:szCs w:val="24"/>
        </w:rPr>
        <w:t>: il</w:t>
      </w:r>
      <w:r>
        <w:rPr>
          <w:rFonts w:ascii="Times New Roman" w:eastAsia="Times New Roman" w:hAnsi="Times New Roman" w:cs="Times New Roman"/>
          <w:sz w:val="24"/>
          <w:szCs w:val="24"/>
        </w:rPr>
        <w:t xml:space="preserve"> minore, la famiglia di origine, la famiglia affidataria, il privato sociale e le associazioni di famiglie affidatarie, il Tribunale per la Famiglia e il giudice tutelare, gli operatori sociali, i quali fanno le veci del minore fino al compimento del dodicesimo anno di età; dopo di che il minore ha diritto di advocacy, cioè un istituto che ne prevede l’ascolto; </w:t>
      </w:r>
      <w:proofErr w:type="gramStart"/>
      <w:r>
        <w:rPr>
          <w:rFonts w:ascii="Times New Roman" w:eastAsia="Times New Roman" w:hAnsi="Times New Roman" w:cs="Times New Roman"/>
          <w:sz w:val="24"/>
          <w:szCs w:val="24"/>
        </w:rPr>
        <w:t>infatti</w:t>
      </w:r>
      <w:proofErr w:type="gramEnd"/>
      <w:r>
        <w:rPr>
          <w:rFonts w:ascii="Times New Roman" w:eastAsia="Times New Roman" w:hAnsi="Times New Roman" w:cs="Times New Roman"/>
          <w:sz w:val="24"/>
          <w:szCs w:val="24"/>
        </w:rPr>
        <w:t xml:space="preserve"> potrà essere ascoltato dal giudice.</w:t>
      </w:r>
    </w:p>
    <w:p w14:paraId="16CBA200"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questo processo bisogna sempre ricordarsi che il minore lascia la sua famiglia e potrebbe insorgere in lui un conflitto di lealtà con conseguente senso di colpa. Per quanto riguarda la famiglia di origine, essa potrebbe nutrire sentimenti di antagonismo nei confronti di quella affidataria, in quanto ritenuta, da altri, migliore per occuparsi del figlio. Questo sentimento potrebbe essere un punto di forza nella misura in cui la famiglia voglia tornare a prendersi cura del proprio figlio e ad avere resilienza.</w:t>
      </w:r>
    </w:p>
    <w:p w14:paraId="1D129918"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famiglia affidataria ha l’obbligo di prendersi cura del minore, di mantenere i rapporti con la famiglia di origine (sia a livello concreto che simbolico) e di curare la dinamica genitori affidatari-figli naturali-nuovo arrivato.</w:t>
      </w:r>
    </w:p>
    <w:p w14:paraId="6D87DEF2"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Gli operatori sociali, invece, hanno il dovere di far rispettare il decreto e sono responsabili dell’abbinamento minore-famiglia affidataria. </w:t>
      </w:r>
    </w:p>
    <w:p w14:paraId="1080D0B8" w14:textId="77777777" w:rsidR="00433C8D" w:rsidRDefault="00433C8D">
      <w:pPr>
        <w:pStyle w:val="Normale3"/>
        <w:spacing w:line="360" w:lineRule="auto"/>
        <w:jc w:val="both"/>
        <w:rPr>
          <w:rFonts w:ascii="Times New Roman" w:eastAsia="Times New Roman" w:hAnsi="Times New Roman" w:cs="Times New Roman"/>
          <w:sz w:val="24"/>
          <w:szCs w:val="24"/>
        </w:rPr>
      </w:pPr>
    </w:p>
    <w:p w14:paraId="2F9C217F" w14:textId="77777777" w:rsidR="00433C8D" w:rsidRDefault="00F61428">
      <w:pPr>
        <w:pStyle w:val="Normale3"/>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Come avere cura</w:t>
      </w:r>
    </w:p>
    <w:p w14:paraId="7400A6EF"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L’incontro è iniziato con la proposta di una delle conduttrici, la dott.ssa Jessica </w:t>
      </w:r>
      <w:proofErr w:type="spellStart"/>
      <w:r>
        <w:rPr>
          <w:rFonts w:ascii="Times New Roman" w:eastAsia="Times New Roman" w:hAnsi="Times New Roman" w:cs="Times New Roman"/>
          <w:sz w:val="24"/>
          <w:szCs w:val="24"/>
        </w:rPr>
        <w:t>Piccinali</w:t>
      </w:r>
      <w:proofErr w:type="spellEnd"/>
      <w:r>
        <w:rPr>
          <w:rFonts w:ascii="Times New Roman" w:eastAsia="Times New Roman" w:hAnsi="Times New Roman" w:cs="Times New Roman"/>
          <w:sz w:val="24"/>
          <w:szCs w:val="24"/>
        </w:rPr>
        <w:t xml:space="preserve">, di riportare individualmente su un foglio le parole e le idee che il concetto di accoglienza e affido familiare ci suscitava. </w:t>
      </w:r>
    </w:p>
    <w:p w14:paraId="581103D4"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Queste sono state poi condivise alla fine della discussione per dare la possibilità di leggerle e osservarle con una consapevolezza nuova nata durante le ore di confronto. </w:t>
      </w:r>
    </w:p>
    <w:p w14:paraId="1FCCB02A" w14:textId="239A2A73"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Questo è stato fatto in attesa della seconda conduttrice, la dott.ssa Marta Orsini, con la quale </w:t>
      </w:r>
      <w:r w:rsidR="00EE03BA">
        <w:rPr>
          <w:rFonts w:ascii="Times New Roman" w:eastAsia="Times New Roman" w:hAnsi="Times New Roman" w:cs="Times New Roman"/>
          <w:sz w:val="24"/>
          <w:szCs w:val="24"/>
        </w:rPr>
        <w:t>abbiamo poi</w:t>
      </w:r>
      <w:r>
        <w:rPr>
          <w:rFonts w:ascii="Times New Roman" w:eastAsia="Times New Roman" w:hAnsi="Times New Roman" w:cs="Times New Roman"/>
          <w:sz w:val="24"/>
          <w:szCs w:val="24"/>
        </w:rPr>
        <w:t xml:space="preserve"> iniziato il vero e proprio incontro partendo da una breve presentazione personale.</w:t>
      </w:r>
    </w:p>
    <w:p w14:paraId="0A8EEE10" w14:textId="3E268865"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Durante questa </w:t>
      </w:r>
      <w:r w:rsidR="00EE03BA">
        <w:rPr>
          <w:rFonts w:ascii="Times New Roman" w:eastAsia="Times New Roman" w:hAnsi="Times New Roman" w:cs="Times New Roman"/>
          <w:sz w:val="24"/>
          <w:szCs w:val="24"/>
        </w:rPr>
        <w:t>abbiamo avuto</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avuto</w:t>
      </w:r>
      <w:proofErr w:type="spellEnd"/>
      <w:r>
        <w:rPr>
          <w:rFonts w:ascii="Times New Roman" w:eastAsia="Times New Roman" w:hAnsi="Times New Roman" w:cs="Times New Roman"/>
          <w:sz w:val="24"/>
          <w:szCs w:val="24"/>
        </w:rPr>
        <w:t xml:space="preserve"> modo di raccontare la nostra esperienza formativa e professionale, con un focus sulle motivazioni che ci hanno spinto a scegliere specificatamente questo tema.</w:t>
      </w:r>
    </w:p>
    <w:p w14:paraId="284F9522" w14:textId="77777777" w:rsidR="00433C8D" w:rsidRDefault="00433C8D">
      <w:pPr>
        <w:pStyle w:val="Normale3"/>
        <w:spacing w:line="360" w:lineRule="auto"/>
        <w:jc w:val="both"/>
        <w:rPr>
          <w:rFonts w:ascii="Times New Roman" w:eastAsia="Times New Roman" w:hAnsi="Times New Roman" w:cs="Times New Roman"/>
          <w:sz w:val="24"/>
          <w:szCs w:val="24"/>
        </w:rPr>
      </w:pPr>
    </w:p>
    <w:p w14:paraId="10191178" w14:textId="4EE44F0A"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conduttrice, ascoltando le nostre parole di presentazione, ha scelto alcuni termini evidentemente condivisi che</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in effetti</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si collegavano a quello che sarebbe stato poi il nostro argomento di discussione principale. </w:t>
      </w:r>
    </w:p>
    <w:p w14:paraId="2CBFF373"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parola più importante che si è deciso di esaminare è stata CURA, dalla quale poi ne sono derivate altre, che meglio ne specificano l’intervento. </w:t>
      </w:r>
    </w:p>
    <w:p w14:paraId="5AEB47DC"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tema della cura è al centro della discussione e deve essere al centro della relazione. Nel contesto che abbiamo vissuto attraverso le parole delle conduttrici abbiamo capito come il protagonista delle relazioni di cura è il minore.</w:t>
      </w:r>
    </w:p>
    <w:p w14:paraId="0F30AEE6"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far ciò rimane altrettanto importante avere cura verso tutti gli attori coinvolti nel progetto di affido: la famiglia di origine, la famiglia affidataria, gli operatori sociali.</w:t>
      </w:r>
    </w:p>
    <w:p w14:paraId="59B25737" w14:textId="7110A6D9"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Peculiare è il termine </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curatore</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EE03BA">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’avvocato che si occupa, all’interno degli spazi del tribunale, di tenere conto dei diritti del minore e far sì che il suo benessere rimanga il focus di tutte le parti. </w:t>
      </w:r>
    </w:p>
    <w:p w14:paraId="29C8B285" w14:textId="71CFD2D8"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Risulta quindi necessario avere cura della rete che si muove attorno al sistema affidi con uno spirito di adattamento che rifletta la specificità di ogni caso. Ogni caso ha bisogno di particolari </w:t>
      </w:r>
      <w:r w:rsidR="00EE03BA">
        <w:rPr>
          <w:rFonts w:ascii="Times New Roman" w:eastAsia="Times New Roman" w:hAnsi="Times New Roman" w:cs="Times New Roman"/>
          <w:sz w:val="24"/>
          <w:szCs w:val="24"/>
        </w:rPr>
        <w:t>competenze</w:t>
      </w:r>
      <w:r>
        <w:rPr>
          <w:rFonts w:ascii="Times New Roman" w:eastAsia="Times New Roman" w:hAnsi="Times New Roman" w:cs="Times New Roman"/>
          <w:sz w:val="24"/>
          <w:szCs w:val="24"/>
        </w:rPr>
        <w:t xml:space="preserve"> da un punto di vista educativo, psicologico, pedagogico e fattuale in quanto ogni minore si presenta con un bagaglio di esperienze e risorse uniche.</w:t>
      </w:r>
    </w:p>
    <w:p w14:paraId="1375747B" w14:textId="77777777" w:rsidR="00433C8D" w:rsidRDefault="00433C8D">
      <w:pPr>
        <w:pStyle w:val="Normale3"/>
        <w:spacing w:line="360" w:lineRule="auto"/>
        <w:jc w:val="both"/>
        <w:rPr>
          <w:rFonts w:ascii="Times New Roman" w:eastAsia="Times New Roman" w:hAnsi="Times New Roman" w:cs="Times New Roman"/>
          <w:sz w:val="24"/>
          <w:szCs w:val="24"/>
        </w:rPr>
      </w:pPr>
    </w:p>
    <w:p w14:paraId="1C025632"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Coordinare un progetto di affido significa tenere in considerazione le ferite di tutti: il bambino, la famiglia di origine e la famiglia affidataria, tenendo ben presente che al centro del nostro interesse deve rimanere il benessere del minore, anche in Tribunale. </w:t>
      </w:r>
    </w:p>
    <w:p w14:paraId="20B188E5" w14:textId="27B91371"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questo proposito la dott.ssa Orsini ha fatto l’esempio di un potenziale affido intra</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parentale: la zia del minore si era infatti proposta come famiglia affidataria. Tenendo conto della sua condizione lavorativa</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che non le avrebbe permesso di occuparsi funzionalmente del nipot</w:t>
      </w:r>
      <w:r w:rsidR="00EE03BA">
        <w:rPr>
          <w:rFonts w:ascii="Times New Roman" w:eastAsia="Times New Roman" w:hAnsi="Times New Roman" w:cs="Times New Roman"/>
          <w:sz w:val="24"/>
          <w:szCs w:val="24"/>
        </w:rPr>
        <w:t>e,</w:t>
      </w:r>
      <w:r>
        <w:rPr>
          <w:rFonts w:ascii="Times New Roman" w:eastAsia="Times New Roman" w:hAnsi="Times New Roman" w:cs="Times New Roman"/>
          <w:sz w:val="24"/>
          <w:szCs w:val="24"/>
        </w:rPr>
        <w:t xml:space="preserve"> il Tribunale ha tramutato la sua richiesta da famiglia di affido a tempo pieno a famiglia di appoggio. Supportare questa persona</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in questo caso</w:t>
      </w:r>
      <w:r w:rsidR="00EE03B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ha voluto valorizzare gli aspetti positivi che si erano colti nella relazione con il nipote.  Accogliere in questo modo una tale richiesta è il primo passo per la realizzazione di un'alleanza che significa comprendere il vissuto che l’altra persona ci sta portando senza necessariamente averlo provato in prima persona ma riconoscendolo, rispettandolo e legittimandolo. </w:t>
      </w:r>
    </w:p>
    <w:p w14:paraId="55DD6CAB" w14:textId="54FD24D2"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Questo è fondamentale quando ci si relaziona con la famiglia di origine. </w:t>
      </w:r>
      <w:r w:rsidR="00EE03BA">
        <w:rPr>
          <w:rFonts w:ascii="Times New Roman" w:eastAsia="Times New Roman" w:hAnsi="Times New Roman" w:cs="Times New Roman"/>
          <w:sz w:val="24"/>
          <w:szCs w:val="24"/>
        </w:rPr>
        <w:t>Esse, infatti,</w:t>
      </w:r>
      <w:r>
        <w:rPr>
          <w:rFonts w:ascii="Times New Roman" w:eastAsia="Times New Roman" w:hAnsi="Times New Roman" w:cs="Times New Roman"/>
          <w:sz w:val="24"/>
          <w:szCs w:val="24"/>
        </w:rPr>
        <w:t xml:space="preserve"> portano con sé delle fatiche e delle possibilità mancate, delle risorse insufficienti che hanno contribuito a creare una situazione disfunzionale.</w:t>
      </w:r>
    </w:p>
    <w:p w14:paraId="2A9EADCB"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costruzione dell'alleanza è la pratica che mette più in gioco gli aspetti più personali dell’operatore sociale, il quale deve avere la capacità, anche attraverso la creatività, di instaurare un rapporto di fiducia non giudicante con la famiglia di origine. Per riuscire a farlo è necessario essere consapevoli dei propri pregiudizi, dei propri punti di vista e della propria storia approfondendo ogni sensazione di disagio o difficoltà. È questa la cura che gli operatori devono a </w:t>
      </w:r>
      <w:proofErr w:type="gramStart"/>
      <w:r>
        <w:rPr>
          <w:rFonts w:ascii="Times New Roman" w:eastAsia="Times New Roman" w:hAnsi="Times New Roman" w:cs="Times New Roman"/>
          <w:sz w:val="24"/>
          <w:szCs w:val="24"/>
        </w:rPr>
        <w:t>se</w:t>
      </w:r>
      <w:proofErr w:type="gramEnd"/>
      <w:r>
        <w:rPr>
          <w:rFonts w:ascii="Times New Roman" w:eastAsia="Times New Roman" w:hAnsi="Times New Roman" w:cs="Times New Roman"/>
          <w:sz w:val="24"/>
          <w:szCs w:val="24"/>
        </w:rPr>
        <w:t xml:space="preserve"> stessi e che li mette in condizione di occuparsi in modo autentico ed efficace del minore.</w:t>
      </w:r>
    </w:p>
    <w:p w14:paraId="247E1E23"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5561F15" w14:textId="77777777" w:rsidR="00433C8D" w:rsidRDefault="00F61428">
      <w:pPr>
        <w:pStyle w:val="Normale3"/>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Connessioni con le conoscenze esplorate nel corso di studi - la cura dell’educatore e dell’educando</w:t>
      </w:r>
    </w:p>
    <w:p w14:paraId="27C53645"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quanto professionisti dell’educazione siamo costantemente a contatto con situazioni di disagio, all’interno di una determinata cultura e contesto i cui esiti sono processi di marginalizzazione, esclusione sociale, impoverimento economico e sociale che quella stessa cultura produce. Il disagio di cui parliamo è sia individuale che sociale, in quanto situazione complessa creata dall’interazione tra individuo, portatore di caratteristiche proprie e uniche, e i contesti in cui vive, che sono a loro volta influenzati da condizioni economiche, ambienti sociali... Il disagio è una condizione inevitabile nella vita di ciascuno di noi, ciò che regge la nostra esistenza è la cura, secondo Heidegger, la quale non coincide con relazioni o azioni specifiche, ma con la struttura che le rende possibili, ossia quel rapporto tra effettività e possibilità (tra ciò che ognuno di noi è già e il poter essere reso unico e in continuo divenire). La cura implica disagio, componente ineliminabile di quel compito attraverso cui costruiamo materialmente ciò che possiamo divenire. Il disagio, inteso in questo senso, innerva tutto l’arco della nostra vita, in quanto situazione in cui si determinano le scelte esistenziali. Il disagio, quindi, accomuna tutti, si differenzia solo nel modo con cui esso viene percepito da ognuno e quali significati gli si attribuiscono.</w:t>
      </w:r>
      <w:r>
        <w:rPr>
          <w:rFonts w:ascii="Times New Roman" w:eastAsia="Times New Roman" w:hAnsi="Times New Roman" w:cs="Times New Roman"/>
          <w:sz w:val="24"/>
          <w:szCs w:val="24"/>
          <w:vertAlign w:val="superscript"/>
        </w:rPr>
        <w:footnoteReference w:id="1"/>
      </w:r>
    </w:p>
    <w:p w14:paraId="53BFCE88"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Durante la pausa, una nostra compagna ha chiesto alle due conduttrici se piangessero a causa delle situazioni educative; la risposta è stata affermativa, anzi hanno legittimato molto il pianto. In quanto operatori è importante avere cura della propria persona e di ciò che proviamo e </w:t>
      </w:r>
      <w:r>
        <w:rPr>
          <w:rFonts w:ascii="Times New Roman" w:eastAsia="Times New Roman" w:hAnsi="Times New Roman" w:cs="Times New Roman"/>
          <w:sz w:val="24"/>
          <w:szCs w:val="24"/>
        </w:rPr>
        <w:lastRenderedPageBreak/>
        <w:t>sentiamo in un determinato momento, perché questo ci permette di agire con un certo distacco nei confronti delle situazioni che ci troviamo ad affrontare, ricordandoci sempre che al centro non ci siamo noi, ma la persona della quale ci stiamo prendendo cura. Pertanto, quando sentiamo qualche sensazione che ci turba, o ci troviamo particolarmente in difficoltà nel gestirle, è importante soffermarci e chiederci da dove deriva quel sentimento.</w:t>
      </w:r>
    </w:p>
    <w:p w14:paraId="00630C9B" w14:textId="0CAC23A0" w:rsidR="00433C8D" w:rsidRDefault="00F61428">
      <w:pPr>
        <w:pStyle w:val="Normale3"/>
        <w:spacing w:before="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Affrontare il compito educativo richiede una profonda consapevolezza della propria storia e dei limiti personali: risulta illusorio, infatti, pensare che aver vissuto una determinata situazione dia automaticamente la capacità di risolverla nelle vite altrui. È fondamentale comprendere appieno le proprie azioni, così come avere a disposizione gli strumenti necessari per navigare nel complesso panorama dell’educazione. La capacità di chiedere aiuto, di affrontare dei momenti di fatica facendo capo a una serie di risorse, rappresenta per alcuni versi lo specchio di quanto viene richiesto all’educando nei percorsi educativi. Questi strumenti possono essere ricompresi nel supporto d’</w:t>
      </w:r>
      <w:r w:rsidR="00EE03BA">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 dal dialogare con degli educatori all’interno del servizio alla supervisione per capire quale modalità d’intervento sia più opportuna, senza scordare la riflessione personale, in quanto l’educazione è un processo mentale, non spontaneo.</w:t>
      </w:r>
    </w:p>
    <w:p w14:paraId="72E73793" w14:textId="77777777" w:rsidR="00433C8D" w:rsidRDefault="00F61428">
      <w:pPr>
        <w:pStyle w:val="Normale3"/>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lavoro educativo, il personale e il professionale si mescolano, per cui il soggetto educante mette inevitabilmente in gioco i propri vissuti. Questo comporta una necessaria assunzione di responsabilità della e nella cura, non solo di sé, ma soprattutto delle persone con cui si sta lavorando, dell’utenza e anche dei colleghi, dell’equipe.</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L’intreccio delle caratteristiche personali, mediate dal setting professionale e dai ruoli educativi, porta a riflettere sulla complessità dell’incontro che ricomprende una serie di dimensioni tanto private quanto sociali. Ciò apre alla necessità di prendersi cura delle fragilità soggettive, ma anche del proprio ruolo giocato nella relazione; delle dimensioni emotive e di quelle narcisistiche, che, se non prese in considerazione, possono costituire un pericolo per sé e per gli altri. Le fragilità personali possono anche avvicinare alla professione, ma la persona deve essere consapevole di quello che sta accadendo. È necessario un buon lavoro su di sé, usando quella fragilità, quella fatica per costruire qualcosa di nuovo, quindi consapevolezze e nuove pratiche. </w:t>
      </w:r>
      <w:r>
        <w:rPr>
          <w:rFonts w:ascii="Times New Roman" w:eastAsia="Times New Roman" w:hAnsi="Times New Roman" w:cs="Times New Roman"/>
          <w:sz w:val="24"/>
          <w:szCs w:val="24"/>
          <w:vertAlign w:val="superscript"/>
        </w:rPr>
        <w:footnoteReference w:id="2"/>
      </w:r>
    </w:p>
    <w:p w14:paraId="2B4BF51F" w14:textId="4E7D149B" w:rsidR="00433C8D" w:rsidRDefault="00F61428">
      <w:pPr>
        <w:pStyle w:val="Normale3"/>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Nelle nostre discussioni in aula è emersa la necessità di costruire e mantenere un lavoro di rete in quanto l’esito del progetto dipende da tutti i soggetti coinvolti. Per riuscire ad esserne consapevoli, allora, è importante imparare a rielaborare le personali esperienze, portatrici di </w:t>
      </w:r>
      <w:r>
        <w:rPr>
          <w:rFonts w:ascii="Times New Roman" w:eastAsia="Times New Roman" w:hAnsi="Times New Roman" w:cs="Times New Roman"/>
          <w:sz w:val="24"/>
          <w:szCs w:val="24"/>
        </w:rPr>
        <w:lastRenderedPageBreak/>
        <w:t>potenziali fragilità. Anche in questo caso il supporto dell’</w:t>
      </w:r>
      <w:r w:rsidR="001C1B82">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 è fondamentale, perché permette di ricontestualizzare e rimodulare le fragilità, spostando l’attenzione da sé e dai propri vissuti (con un approccio introspettivo e psicologico) agli interventi educativi con e per l’utenza incontrata (privilegiando uno sguardo pedagogico).</w:t>
      </w:r>
      <w:r>
        <w:rPr>
          <w:rFonts w:ascii="Times New Roman" w:eastAsia="Times New Roman" w:hAnsi="Times New Roman" w:cs="Times New Roman"/>
          <w:sz w:val="24"/>
          <w:szCs w:val="24"/>
          <w:vertAlign w:val="superscript"/>
        </w:rPr>
        <w:footnoteReference w:id="3"/>
      </w:r>
    </w:p>
    <w:p w14:paraId="7C59858E" w14:textId="77777777" w:rsidR="00433C8D" w:rsidRDefault="00F61428">
      <w:pPr>
        <w:pStyle w:val="Normale3"/>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Conclusioni</w:t>
      </w:r>
    </w:p>
    <w:p w14:paraId="11658E87"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Abbiamo trovato interessante la scelta della sede in cui è stato organizzato il workshop perché ci ha permesso di entrare nel vivo degli spazi della Fondazione e di conoscerla da un punto di vista non puramente accademico. </w:t>
      </w:r>
    </w:p>
    <w:p w14:paraId="001980ED"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Crediamo, inoltre, che le modalità tramite cui le conduttrici hanno gestito il workshop siano state efficaci poiché, oltre alla parte di spiegazione teorica, hanno contribuito a creare uno spazio aperto e non giudicante di dialogo e confronto tra noi partecipanti. </w:t>
      </w:r>
    </w:p>
    <w:p w14:paraId="6D73BA32" w14:textId="77777777" w:rsidR="00433C8D" w:rsidRDefault="00433C8D">
      <w:pPr>
        <w:pStyle w:val="Normale3"/>
        <w:spacing w:line="360" w:lineRule="auto"/>
        <w:jc w:val="both"/>
        <w:rPr>
          <w:rFonts w:ascii="Times New Roman" w:eastAsia="Times New Roman" w:hAnsi="Times New Roman" w:cs="Times New Roman"/>
          <w:b/>
          <w:sz w:val="24"/>
          <w:szCs w:val="24"/>
        </w:rPr>
      </w:pPr>
    </w:p>
    <w:p w14:paraId="08B56FF3"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Bibliografia</w:t>
      </w:r>
    </w:p>
    <w:p w14:paraId="33948210" w14:textId="7F2B43E1"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Lomazzi C., </w:t>
      </w:r>
      <w:r>
        <w:rPr>
          <w:rFonts w:ascii="Times New Roman" w:eastAsia="Times New Roman" w:hAnsi="Times New Roman" w:cs="Times New Roman"/>
          <w:i/>
          <w:sz w:val="24"/>
          <w:szCs w:val="24"/>
        </w:rPr>
        <w:t>"L'asimmetria nel lavoro educativo”</w:t>
      </w:r>
      <w:r>
        <w:rPr>
          <w:rFonts w:ascii="Times New Roman" w:eastAsia="Times New Roman" w:hAnsi="Times New Roman" w:cs="Times New Roman"/>
          <w:sz w:val="24"/>
          <w:szCs w:val="24"/>
        </w:rPr>
        <w:t xml:space="preserve">, in M. Rizzo, S. Romeo, S. </w:t>
      </w:r>
      <w:proofErr w:type="spellStart"/>
      <w:r>
        <w:rPr>
          <w:rFonts w:ascii="Times New Roman" w:eastAsia="Times New Roman" w:hAnsi="Times New Roman" w:cs="Times New Roman"/>
          <w:sz w:val="24"/>
          <w:szCs w:val="24"/>
        </w:rPr>
        <w:t>Tramma</w:t>
      </w:r>
      <w:proofErr w:type="spellEnd"/>
      <w:r>
        <w:rPr>
          <w:rFonts w:ascii="Times New Roman" w:eastAsia="Times New Roman" w:hAnsi="Times New Roman" w:cs="Times New Roman"/>
          <w:sz w:val="24"/>
          <w:szCs w:val="24"/>
        </w:rPr>
        <w:t xml:space="preserve"> (a cura di), </w:t>
      </w:r>
      <w:r>
        <w:rPr>
          <w:rFonts w:ascii="Times New Roman" w:eastAsia="Times New Roman" w:hAnsi="Times New Roman" w:cs="Times New Roman"/>
          <w:i/>
          <w:sz w:val="24"/>
          <w:szCs w:val="24"/>
        </w:rPr>
        <w:t>“Le zone d’ombra del lavoro educativo”</w:t>
      </w:r>
      <w:r>
        <w:rPr>
          <w:rFonts w:ascii="Times New Roman" w:eastAsia="Times New Roman" w:hAnsi="Times New Roman" w:cs="Times New Roman"/>
          <w:sz w:val="24"/>
          <w:szCs w:val="24"/>
        </w:rPr>
        <w:t>, Franco Angeli, 2024;</w:t>
      </w:r>
    </w:p>
    <w:p w14:paraId="634E6FE9" w14:textId="77777777" w:rsidR="00433C8D" w:rsidRDefault="00F61428">
      <w:pPr>
        <w:pStyle w:val="Normale3"/>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Palmieri C. e Gambacorti-Passerini M.B. (a cura di), </w:t>
      </w:r>
      <w:r>
        <w:rPr>
          <w:rFonts w:ascii="Times New Roman" w:eastAsia="Times New Roman" w:hAnsi="Times New Roman" w:cs="Times New Roman"/>
          <w:i/>
          <w:sz w:val="24"/>
          <w:szCs w:val="24"/>
        </w:rPr>
        <w:t>“Disagio e lavoro educativo: prospettive pedagogiche nell’esperienza della contemporaneità”</w:t>
      </w:r>
      <w:r>
        <w:rPr>
          <w:rFonts w:ascii="Times New Roman" w:eastAsia="Times New Roman" w:hAnsi="Times New Roman" w:cs="Times New Roman"/>
          <w:sz w:val="24"/>
          <w:szCs w:val="24"/>
        </w:rPr>
        <w:t>, Milano, Franco Angeli, 2021</w:t>
      </w:r>
    </w:p>
    <w:p w14:paraId="53281E27" w14:textId="77777777" w:rsidR="00433C8D" w:rsidRDefault="00433C8D">
      <w:pPr>
        <w:pStyle w:val="Normale3"/>
        <w:spacing w:line="360" w:lineRule="auto"/>
        <w:jc w:val="both"/>
        <w:rPr>
          <w:rFonts w:ascii="Times New Roman" w:eastAsia="Times New Roman" w:hAnsi="Times New Roman" w:cs="Times New Roman"/>
          <w:sz w:val="24"/>
          <w:szCs w:val="24"/>
        </w:rPr>
      </w:pPr>
    </w:p>
    <w:sectPr w:rsidR="00433C8D" w:rsidSect="00433C8D">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C9EDA9" w14:textId="77777777" w:rsidR="00294A18" w:rsidRDefault="00294A18" w:rsidP="00433C8D">
      <w:pPr>
        <w:spacing w:line="240" w:lineRule="auto"/>
      </w:pPr>
      <w:r>
        <w:separator/>
      </w:r>
    </w:p>
  </w:endnote>
  <w:endnote w:type="continuationSeparator" w:id="0">
    <w:p w14:paraId="2C735786" w14:textId="77777777" w:rsidR="00294A18" w:rsidRDefault="00294A18" w:rsidP="00433C8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23DD8B" w14:textId="77777777" w:rsidR="00294A18" w:rsidRDefault="00294A18" w:rsidP="00433C8D">
      <w:pPr>
        <w:spacing w:line="240" w:lineRule="auto"/>
      </w:pPr>
      <w:r>
        <w:separator/>
      </w:r>
    </w:p>
  </w:footnote>
  <w:footnote w:type="continuationSeparator" w:id="0">
    <w:p w14:paraId="0E392762" w14:textId="77777777" w:rsidR="00294A18" w:rsidRDefault="00294A18" w:rsidP="00433C8D">
      <w:pPr>
        <w:spacing w:line="240" w:lineRule="auto"/>
      </w:pPr>
      <w:r>
        <w:continuationSeparator/>
      </w:r>
    </w:p>
  </w:footnote>
  <w:footnote w:id="1">
    <w:p w14:paraId="7E8B9CBA" w14:textId="77777777" w:rsidR="00433C8D" w:rsidRDefault="00F61428">
      <w:pPr>
        <w:pStyle w:val="Normale3"/>
        <w:spacing w:line="240" w:lineRule="auto"/>
        <w:jc w:val="both"/>
        <w:rPr>
          <w:rFonts w:ascii="Times New Roman" w:eastAsia="Times New Roman" w:hAnsi="Times New Roman" w:cs="Times New Roman"/>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C. Palmieri e M.B. Gambacorti-Passerini. (a cura di), “</w:t>
      </w:r>
      <w:r>
        <w:rPr>
          <w:rFonts w:ascii="Times New Roman" w:eastAsia="Times New Roman" w:hAnsi="Times New Roman" w:cs="Times New Roman"/>
          <w:i/>
          <w:sz w:val="20"/>
          <w:szCs w:val="20"/>
        </w:rPr>
        <w:t>Disagio e lavoro educativo: prospettive pedagogiche nell’esperienza della contemporaneità”</w:t>
      </w:r>
      <w:r>
        <w:rPr>
          <w:rFonts w:ascii="Times New Roman" w:eastAsia="Times New Roman" w:hAnsi="Times New Roman" w:cs="Times New Roman"/>
          <w:sz w:val="20"/>
          <w:szCs w:val="20"/>
        </w:rPr>
        <w:t>, Milano, Franco Angeli, 2021.</w:t>
      </w:r>
    </w:p>
  </w:footnote>
  <w:footnote w:id="2">
    <w:p w14:paraId="4D0881CF" w14:textId="43DF3C5F" w:rsidR="00433C8D" w:rsidRDefault="00F61428">
      <w:pPr>
        <w:pStyle w:val="Normale3"/>
        <w:spacing w:line="240" w:lineRule="auto"/>
        <w:jc w:val="both"/>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C. Lomazzi, </w:t>
      </w:r>
      <w:r>
        <w:rPr>
          <w:rFonts w:ascii="Times New Roman" w:eastAsia="Times New Roman" w:hAnsi="Times New Roman" w:cs="Times New Roman"/>
          <w:i/>
          <w:sz w:val="20"/>
          <w:szCs w:val="20"/>
        </w:rPr>
        <w:t>"L'asimmetria nel lavoro educativo”</w:t>
      </w:r>
      <w:r>
        <w:rPr>
          <w:rFonts w:ascii="Times New Roman" w:eastAsia="Times New Roman" w:hAnsi="Times New Roman" w:cs="Times New Roman"/>
          <w:sz w:val="20"/>
          <w:szCs w:val="20"/>
        </w:rPr>
        <w:t>, in M. Rizzo, S.</w:t>
      </w:r>
      <w:r w:rsidR="001C1B82">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Romeo, S. </w:t>
      </w:r>
      <w:proofErr w:type="spellStart"/>
      <w:r>
        <w:rPr>
          <w:rFonts w:ascii="Times New Roman" w:eastAsia="Times New Roman" w:hAnsi="Times New Roman" w:cs="Times New Roman"/>
          <w:sz w:val="20"/>
          <w:szCs w:val="20"/>
        </w:rPr>
        <w:t>Tramma</w:t>
      </w:r>
      <w:proofErr w:type="spellEnd"/>
      <w:r>
        <w:rPr>
          <w:rFonts w:ascii="Times New Roman" w:eastAsia="Times New Roman" w:hAnsi="Times New Roman" w:cs="Times New Roman"/>
          <w:sz w:val="20"/>
          <w:szCs w:val="20"/>
        </w:rPr>
        <w:t xml:space="preserve"> (a cura di),</w:t>
      </w:r>
      <w:r>
        <w:rPr>
          <w:rFonts w:ascii="Times New Roman" w:eastAsia="Times New Roman" w:hAnsi="Times New Roman" w:cs="Times New Roman"/>
          <w:i/>
          <w:sz w:val="20"/>
          <w:szCs w:val="20"/>
        </w:rPr>
        <w:t xml:space="preserve"> “Le zone d’ombra del lavoro educativo”</w:t>
      </w:r>
      <w:r>
        <w:rPr>
          <w:rFonts w:ascii="Times New Roman" w:eastAsia="Times New Roman" w:hAnsi="Times New Roman" w:cs="Times New Roman"/>
          <w:sz w:val="20"/>
          <w:szCs w:val="20"/>
        </w:rPr>
        <w:t>, Franco Angeli, 2024, p. 134</w:t>
      </w:r>
    </w:p>
  </w:footnote>
  <w:footnote w:id="3">
    <w:p w14:paraId="5A68ADF3" w14:textId="77777777" w:rsidR="00433C8D" w:rsidRDefault="00F61428">
      <w:pPr>
        <w:pStyle w:val="Normale3"/>
        <w:jc w:val="both"/>
        <w:rPr>
          <w:rFonts w:ascii="Times New Roman" w:eastAsia="Times New Roman" w:hAnsi="Times New Roman" w:cs="Times New Roman"/>
          <w:i/>
          <w:sz w:val="20"/>
          <w:szCs w:val="20"/>
        </w:rPr>
      </w:pPr>
      <w:r>
        <w:rPr>
          <w:vertAlign w:val="superscript"/>
        </w:rPr>
        <w:footnoteRef/>
      </w:r>
      <w:r>
        <w:rPr>
          <w:sz w:val="20"/>
          <w:szCs w:val="20"/>
        </w:rPr>
        <w:t xml:space="preserve"> </w:t>
      </w:r>
      <w:r>
        <w:rPr>
          <w:rFonts w:ascii="Times New Roman" w:eastAsia="Times New Roman" w:hAnsi="Times New Roman" w:cs="Times New Roman"/>
          <w:i/>
          <w:sz w:val="20"/>
          <w:szCs w:val="20"/>
        </w:rPr>
        <w:t>ibidem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7B546F9"/>
    <w:multiLevelType w:val="multilevel"/>
    <w:tmpl w:val="E414508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6332933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C8D"/>
    <w:rsid w:val="001C1B82"/>
    <w:rsid w:val="00294A18"/>
    <w:rsid w:val="003A01A8"/>
    <w:rsid w:val="003A6395"/>
    <w:rsid w:val="00433C8D"/>
    <w:rsid w:val="008C1165"/>
    <w:rsid w:val="00AC5B0E"/>
    <w:rsid w:val="00EE03BA"/>
    <w:rsid w:val="00F6142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53D1BF"/>
  <w15:docId w15:val="{FCCEBFCF-69A3-45F3-9556-19161C5AA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it-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3"/>
    <w:next w:val="Normale3"/>
    <w:rsid w:val="00433C8D"/>
    <w:pPr>
      <w:keepNext/>
      <w:keepLines/>
      <w:spacing w:before="400" w:after="120"/>
      <w:outlineLvl w:val="0"/>
    </w:pPr>
    <w:rPr>
      <w:sz w:val="40"/>
      <w:szCs w:val="40"/>
    </w:rPr>
  </w:style>
  <w:style w:type="paragraph" w:styleId="Titolo2">
    <w:name w:val="heading 2"/>
    <w:basedOn w:val="Normale3"/>
    <w:next w:val="Normale3"/>
    <w:rsid w:val="00433C8D"/>
    <w:pPr>
      <w:keepNext/>
      <w:keepLines/>
      <w:spacing w:before="360" w:after="120"/>
      <w:outlineLvl w:val="1"/>
    </w:pPr>
    <w:rPr>
      <w:sz w:val="32"/>
      <w:szCs w:val="32"/>
    </w:rPr>
  </w:style>
  <w:style w:type="paragraph" w:styleId="Titolo3">
    <w:name w:val="heading 3"/>
    <w:basedOn w:val="Normale3"/>
    <w:next w:val="Normale3"/>
    <w:rsid w:val="00433C8D"/>
    <w:pPr>
      <w:keepNext/>
      <w:keepLines/>
      <w:spacing w:before="320" w:after="80"/>
      <w:outlineLvl w:val="2"/>
    </w:pPr>
    <w:rPr>
      <w:color w:val="434343"/>
      <w:sz w:val="28"/>
      <w:szCs w:val="28"/>
    </w:rPr>
  </w:style>
  <w:style w:type="paragraph" w:styleId="Titolo4">
    <w:name w:val="heading 4"/>
    <w:basedOn w:val="Normale3"/>
    <w:next w:val="Normale3"/>
    <w:rsid w:val="00433C8D"/>
    <w:pPr>
      <w:keepNext/>
      <w:keepLines/>
      <w:spacing w:before="280" w:after="80"/>
      <w:outlineLvl w:val="3"/>
    </w:pPr>
    <w:rPr>
      <w:color w:val="666666"/>
      <w:sz w:val="24"/>
      <w:szCs w:val="24"/>
    </w:rPr>
  </w:style>
  <w:style w:type="paragraph" w:styleId="Titolo5">
    <w:name w:val="heading 5"/>
    <w:basedOn w:val="Normale3"/>
    <w:next w:val="Normale3"/>
    <w:rsid w:val="00433C8D"/>
    <w:pPr>
      <w:keepNext/>
      <w:keepLines/>
      <w:spacing w:before="240" w:after="80"/>
      <w:outlineLvl w:val="4"/>
    </w:pPr>
    <w:rPr>
      <w:color w:val="666666"/>
    </w:rPr>
  </w:style>
  <w:style w:type="paragraph" w:styleId="Titolo6">
    <w:name w:val="heading 6"/>
    <w:basedOn w:val="Normale3"/>
    <w:next w:val="Normale3"/>
    <w:rsid w:val="00433C8D"/>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e1">
    <w:name w:val="Normale1"/>
    <w:rsid w:val="00433C8D"/>
  </w:style>
  <w:style w:type="table" w:customStyle="1" w:styleId="TableNormal">
    <w:name w:val="Table Normal"/>
    <w:rsid w:val="00433C8D"/>
    <w:tblPr>
      <w:tblCellMar>
        <w:top w:w="0" w:type="dxa"/>
        <w:left w:w="0" w:type="dxa"/>
        <w:bottom w:w="0" w:type="dxa"/>
        <w:right w:w="0" w:type="dxa"/>
      </w:tblCellMar>
    </w:tblPr>
  </w:style>
  <w:style w:type="paragraph" w:styleId="Titolo">
    <w:name w:val="Title"/>
    <w:basedOn w:val="Normale3"/>
    <w:next w:val="Normale3"/>
    <w:rsid w:val="00433C8D"/>
    <w:pPr>
      <w:keepNext/>
      <w:keepLines/>
      <w:spacing w:after="60"/>
    </w:pPr>
    <w:rPr>
      <w:sz w:val="52"/>
      <w:szCs w:val="52"/>
    </w:rPr>
  </w:style>
  <w:style w:type="paragraph" w:customStyle="1" w:styleId="Normale2">
    <w:name w:val="Normale2"/>
    <w:rsid w:val="00433C8D"/>
  </w:style>
  <w:style w:type="table" w:customStyle="1" w:styleId="TableNormal0">
    <w:name w:val="Table Normal"/>
    <w:rsid w:val="00433C8D"/>
    <w:tblPr>
      <w:tblCellMar>
        <w:top w:w="0" w:type="dxa"/>
        <w:left w:w="0" w:type="dxa"/>
        <w:bottom w:w="0" w:type="dxa"/>
        <w:right w:w="0" w:type="dxa"/>
      </w:tblCellMar>
    </w:tblPr>
  </w:style>
  <w:style w:type="paragraph" w:customStyle="1" w:styleId="Normale3">
    <w:name w:val="Normale3"/>
    <w:rsid w:val="00433C8D"/>
  </w:style>
  <w:style w:type="table" w:customStyle="1" w:styleId="TableNormal1">
    <w:name w:val="Table Normal"/>
    <w:rsid w:val="00433C8D"/>
    <w:tblPr>
      <w:tblCellMar>
        <w:top w:w="0" w:type="dxa"/>
        <w:left w:w="0" w:type="dxa"/>
        <w:bottom w:w="0" w:type="dxa"/>
        <w:right w:w="0" w:type="dxa"/>
      </w:tblCellMar>
    </w:tblPr>
  </w:style>
  <w:style w:type="paragraph" w:styleId="Sottotitolo">
    <w:name w:val="Subtitle"/>
    <w:basedOn w:val="Normale3"/>
    <w:next w:val="Normale3"/>
    <w:rsid w:val="00433C8D"/>
    <w:pPr>
      <w:keepNext/>
      <w:keepLines/>
      <w:spacing w:after="320"/>
    </w:pPr>
    <w:rPr>
      <w:color w:val="666666"/>
      <w:sz w:val="30"/>
      <w:szCs w:val="30"/>
    </w:rPr>
  </w:style>
  <w:style w:type="paragraph" w:styleId="Testofumetto">
    <w:name w:val="Balloon Text"/>
    <w:basedOn w:val="Normale"/>
    <w:link w:val="TestofumettoCarattere"/>
    <w:uiPriority w:val="99"/>
    <w:semiHidden/>
    <w:unhideWhenUsed/>
    <w:rsid w:val="003A01A8"/>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A01A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7</Pages>
  <Words>2249</Words>
  <Characters>12824</Characters>
  <Application>Microsoft Office Word</Application>
  <DocSecurity>0</DocSecurity>
  <Lines>106</Lines>
  <Paragraphs>30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dc:creator>
  <cp:lastModifiedBy>Paola Eginardo</cp:lastModifiedBy>
  <cp:revision>4</cp:revision>
  <dcterms:created xsi:type="dcterms:W3CDTF">2024-12-30T11:23:00Z</dcterms:created>
  <dcterms:modified xsi:type="dcterms:W3CDTF">2024-12-30T11:33:00Z</dcterms:modified>
</cp:coreProperties>
</file>