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E2B3C3" w14:textId="77777777" w:rsidR="00871D0A" w:rsidRDefault="00000000">
      <w:pPr>
        <w:pStyle w:val="LO-normal"/>
        <w:spacing w:line="360" w:lineRule="auto"/>
        <w:rPr>
          <w:rFonts w:ascii="Times New Roman" w:eastAsia="Times New Roman" w:hAnsi="Times New Roman" w:cs="Times New Roman"/>
          <w:sz w:val="32"/>
          <w:szCs w:val="32"/>
        </w:rPr>
      </w:pPr>
      <w:r>
        <w:rPr>
          <w:noProof/>
        </w:rPr>
        <w:drawing>
          <wp:inline distT="0" distB="0" distL="0" distR="0" wp14:anchorId="3A6C5155" wp14:editId="6878EE4A">
            <wp:extent cx="1153160" cy="112077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6"/>
                    <a:stretch>
                      <a:fillRect/>
                    </a:stretch>
                  </pic:blipFill>
                  <pic:spPr bwMode="auto">
                    <a:xfrm>
                      <a:off x="0" y="0"/>
                      <a:ext cx="1153160" cy="1120775"/>
                    </a:xfrm>
                    <a:prstGeom prst="rect">
                      <a:avLst/>
                    </a:prstGeom>
                  </pic:spPr>
                </pic:pic>
              </a:graphicData>
            </a:graphic>
          </wp:inline>
        </w:drawing>
      </w:r>
      <w:r>
        <w:rPr>
          <w:rFonts w:ascii="Times New Roman" w:eastAsia="Times New Roman" w:hAnsi="Times New Roman" w:cs="Times New Roman"/>
          <w:sz w:val="28"/>
          <w:szCs w:val="28"/>
        </w:rPr>
        <w:t xml:space="preserve">  </w:t>
      </w:r>
      <w:r>
        <w:rPr>
          <w:rFonts w:ascii="Times New Roman" w:eastAsia="Times New Roman" w:hAnsi="Times New Roman" w:cs="Times New Roman"/>
          <w:sz w:val="32"/>
          <w:szCs w:val="32"/>
        </w:rPr>
        <w:t>Tirocinio Formativo e di Orientamento</w:t>
      </w:r>
    </w:p>
    <w:p w14:paraId="3B1715A2" w14:textId="77777777" w:rsidR="00871D0A" w:rsidRDefault="00000000">
      <w:pPr>
        <w:pStyle w:val="LO-normal"/>
        <w:spacing w:line="360" w:lineRule="auto"/>
        <w:ind w:left="1440" w:firstLine="720"/>
        <w:rPr>
          <w:rFonts w:ascii="Times New Roman" w:eastAsia="Times New Roman" w:hAnsi="Times New Roman" w:cs="Times New Roman"/>
        </w:rPr>
      </w:pPr>
      <w:r>
        <w:rPr>
          <w:rFonts w:ascii="Times New Roman" w:eastAsia="Times New Roman" w:hAnsi="Times New Roman" w:cs="Times New Roman"/>
        </w:rPr>
        <w:t>Corso di Laurea Magistrale in Scienze Pedagogiche</w:t>
      </w:r>
    </w:p>
    <w:p w14:paraId="7FA5C0DD" w14:textId="77777777" w:rsidR="00871D0A" w:rsidRDefault="00000000">
      <w:pPr>
        <w:pStyle w:val="LO-normal"/>
        <w:spacing w:line="360" w:lineRule="auto"/>
        <w:rPr>
          <w:rFonts w:ascii="Times New Roman" w:eastAsia="Times New Roman" w:hAnsi="Times New Roman" w:cs="Times New Roman"/>
        </w:rPr>
      </w:pP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tab/>
        <w:t>Dipartimento di Scienze Umane per la Formazione “Riccardo Massa”</w:t>
      </w:r>
    </w:p>
    <w:p w14:paraId="14E4D666" w14:textId="77777777" w:rsidR="00871D0A" w:rsidRDefault="00000000">
      <w:pPr>
        <w:pStyle w:val="LO-normal"/>
        <w:spacing w:line="360" w:lineRule="auto"/>
        <w:ind w:left="1440" w:firstLine="720"/>
        <w:rPr>
          <w:rFonts w:ascii="Times New Roman" w:eastAsia="Times New Roman" w:hAnsi="Times New Roman" w:cs="Times New Roman"/>
        </w:rPr>
      </w:pPr>
      <w:r>
        <w:rPr>
          <w:rFonts w:ascii="Times New Roman" w:eastAsia="Times New Roman" w:hAnsi="Times New Roman" w:cs="Times New Roman"/>
        </w:rPr>
        <w:t>Università degli Studi di Milano – Bicocca</w:t>
      </w:r>
    </w:p>
    <w:p w14:paraId="2A01C120" w14:textId="77777777" w:rsidR="00871D0A" w:rsidRDefault="00871D0A">
      <w:pPr>
        <w:pStyle w:val="LO-normal"/>
        <w:spacing w:line="360" w:lineRule="auto"/>
        <w:ind w:left="1440" w:firstLine="720"/>
        <w:jc w:val="both"/>
        <w:rPr>
          <w:rFonts w:ascii="Times New Roman" w:eastAsia="Times New Roman" w:hAnsi="Times New Roman" w:cs="Times New Roman"/>
        </w:rPr>
      </w:pPr>
    </w:p>
    <w:p w14:paraId="205AB9B3" w14:textId="77777777" w:rsidR="00871D0A" w:rsidRDefault="00871D0A">
      <w:pPr>
        <w:pStyle w:val="LO-normal"/>
        <w:spacing w:line="360" w:lineRule="auto"/>
        <w:ind w:left="1440" w:firstLine="720"/>
        <w:jc w:val="both"/>
        <w:rPr>
          <w:rFonts w:ascii="Times New Roman" w:eastAsia="Times New Roman" w:hAnsi="Times New Roman" w:cs="Times New Roman"/>
        </w:rPr>
      </w:pPr>
    </w:p>
    <w:p w14:paraId="14DFDD10" w14:textId="77777777" w:rsidR="00B24D63" w:rsidRDefault="00B24D63">
      <w:pPr>
        <w:pStyle w:val="LO-normal"/>
        <w:spacing w:line="360" w:lineRule="auto"/>
        <w:ind w:left="1440" w:firstLine="720"/>
        <w:jc w:val="both"/>
        <w:rPr>
          <w:rFonts w:ascii="Times New Roman" w:eastAsia="Times New Roman" w:hAnsi="Times New Roman" w:cs="Times New Roman"/>
        </w:rPr>
      </w:pPr>
    </w:p>
    <w:p w14:paraId="5392D008" w14:textId="77777777" w:rsidR="00871D0A" w:rsidRDefault="00000000">
      <w:pPr>
        <w:pStyle w:val="LO-normal"/>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4243B21A" w14:textId="77777777" w:rsidR="00871D0A" w:rsidRDefault="00000000">
      <w:pPr>
        <w:pStyle w:val="LO-normal"/>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3A145834" w14:textId="255CF263" w:rsidR="00871D0A" w:rsidRDefault="00000000">
      <w:pPr>
        <w:pStyle w:val="LO-normal"/>
        <w:spacing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Il coordinamento pedagogico di un’</w:t>
      </w:r>
      <w:r w:rsidR="00B24D63">
        <w:rPr>
          <w:rFonts w:ascii="Times New Roman" w:eastAsia="Times New Roman" w:hAnsi="Times New Roman" w:cs="Times New Roman"/>
          <w:b/>
          <w:sz w:val="28"/>
          <w:szCs w:val="28"/>
        </w:rPr>
        <w:t>équipe</w:t>
      </w:r>
      <w:r>
        <w:rPr>
          <w:rFonts w:ascii="Times New Roman" w:eastAsia="Times New Roman" w:hAnsi="Times New Roman" w:cs="Times New Roman"/>
          <w:b/>
          <w:sz w:val="28"/>
          <w:szCs w:val="28"/>
        </w:rPr>
        <w:t xml:space="preserve"> multidisciplinare,</w:t>
      </w:r>
    </w:p>
    <w:p w14:paraId="398884AE" w14:textId="79CB81AC" w:rsidR="00871D0A" w:rsidRDefault="00000000">
      <w:pPr>
        <w:pStyle w:val="LO-normal"/>
        <w:spacing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condivisione di buone prassi e nodi problematici</w:t>
      </w:r>
    </w:p>
    <w:p w14:paraId="4556CD1E" w14:textId="77777777" w:rsidR="00871D0A" w:rsidRDefault="00000000">
      <w:pPr>
        <w:pStyle w:val="LO-normal"/>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2E07E3CC" w14:textId="77777777" w:rsidR="00871D0A" w:rsidRDefault="00000000">
      <w:pPr>
        <w:pStyle w:val="LO-normal"/>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22/11/2024 - Corgeno (VA)</w:t>
      </w:r>
    </w:p>
    <w:p w14:paraId="595E34D2" w14:textId="77777777" w:rsidR="00B24D63" w:rsidRDefault="00B24D63">
      <w:pPr>
        <w:pStyle w:val="LO-normal"/>
        <w:spacing w:line="360" w:lineRule="auto"/>
        <w:rPr>
          <w:rFonts w:ascii="Times New Roman" w:eastAsia="Times New Roman" w:hAnsi="Times New Roman" w:cs="Times New Roman"/>
          <w:b/>
          <w:sz w:val="24"/>
          <w:szCs w:val="24"/>
        </w:rPr>
      </w:pPr>
    </w:p>
    <w:p w14:paraId="3D98BBA1" w14:textId="77777777" w:rsidR="00B24D63" w:rsidRDefault="00B24D63">
      <w:pPr>
        <w:pStyle w:val="LO-normal"/>
        <w:spacing w:line="360" w:lineRule="auto"/>
        <w:rPr>
          <w:rFonts w:ascii="Times New Roman" w:eastAsia="Times New Roman" w:hAnsi="Times New Roman" w:cs="Times New Roman"/>
          <w:b/>
          <w:i/>
          <w:iCs/>
          <w:sz w:val="24"/>
          <w:szCs w:val="24"/>
        </w:rPr>
      </w:pPr>
    </w:p>
    <w:p w14:paraId="7FBAD229" w14:textId="6B3078D7" w:rsidR="00871D0A" w:rsidRPr="00B24D63" w:rsidRDefault="00000000">
      <w:pPr>
        <w:pStyle w:val="LO-normal"/>
        <w:spacing w:line="360" w:lineRule="auto"/>
        <w:rPr>
          <w:rFonts w:ascii="Times New Roman" w:eastAsia="Times New Roman" w:hAnsi="Times New Roman" w:cs="Times New Roman"/>
          <w:b/>
          <w:i/>
          <w:iCs/>
          <w:sz w:val="24"/>
          <w:szCs w:val="24"/>
        </w:rPr>
      </w:pPr>
      <w:r w:rsidRPr="00B24D63">
        <w:rPr>
          <w:rFonts w:ascii="Times New Roman" w:eastAsia="Times New Roman" w:hAnsi="Times New Roman" w:cs="Times New Roman"/>
          <w:b/>
          <w:i/>
          <w:iCs/>
          <w:sz w:val="24"/>
          <w:szCs w:val="24"/>
        </w:rPr>
        <w:t>Conduttrice</w:t>
      </w:r>
    </w:p>
    <w:p w14:paraId="3D1D72EB"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Dott.ssa Licia Vitale, Coop. Sociale “L’Aquilone”, coordinatrice del servizio “Famiglie allo specchio”</w:t>
      </w:r>
    </w:p>
    <w:p w14:paraId="2DCE7D4F" w14:textId="77777777" w:rsidR="00871D0A" w:rsidRDefault="00871D0A">
      <w:pPr>
        <w:pStyle w:val="LO-normal"/>
        <w:spacing w:line="360" w:lineRule="auto"/>
        <w:rPr>
          <w:rFonts w:ascii="Times New Roman" w:eastAsia="Times New Roman" w:hAnsi="Times New Roman" w:cs="Times New Roman"/>
          <w:b/>
          <w:sz w:val="24"/>
          <w:szCs w:val="24"/>
        </w:rPr>
      </w:pPr>
    </w:p>
    <w:p w14:paraId="65AA14AA" w14:textId="77777777" w:rsidR="00871D0A" w:rsidRPr="00B24D63" w:rsidRDefault="00000000">
      <w:pPr>
        <w:pStyle w:val="LO-normal"/>
        <w:spacing w:line="360" w:lineRule="auto"/>
        <w:rPr>
          <w:rFonts w:ascii="Times New Roman" w:eastAsia="Times New Roman" w:hAnsi="Times New Roman" w:cs="Times New Roman"/>
          <w:b/>
          <w:i/>
          <w:iCs/>
          <w:sz w:val="24"/>
          <w:szCs w:val="24"/>
        </w:rPr>
      </w:pPr>
      <w:r w:rsidRPr="00B24D63">
        <w:rPr>
          <w:rFonts w:ascii="Times New Roman" w:eastAsia="Times New Roman" w:hAnsi="Times New Roman" w:cs="Times New Roman"/>
          <w:b/>
          <w:i/>
          <w:iCs/>
          <w:sz w:val="24"/>
          <w:szCs w:val="24"/>
        </w:rPr>
        <w:t>Partecipanti</w:t>
      </w:r>
    </w:p>
    <w:p w14:paraId="48E7BD36"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Irene Beltrame                               </w:t>
      </w:r>
      <w:r>
        <w:rPr>
          <w:rFonts w:ascii="Times New Roman" w:eastAsia="Times New Roman" w:hAnsi="Times New Roman" w:cs="Times New Roman"/>
          <w:sz w:val="24"/>
          <w:szCs w:val="24"/>
        </w:rPr>
        <w:tab/>
      </w:r>
    </w:p>
    <w:p w14:paraId="7D529954"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Samuele Biollo</w:t>
      </w:r>
    </w:p>
    <w:p w14:paraId="64D12E1D"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Valentina Farioli                                       </w:t>
      </w:r>
      <w:r>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tab/>
      </w:r>
    </w:p>
    <w:p w14:paraId="47E2FF74"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Giulia Guadagnin   </w:t>
      </w:r>
      <w:r>
        <w:rPr>
          <w:rFonts w:ascii="Times New Roman" w:eastAsia="Times New Roman" w:hAnsi="Times New Roman" w:cs="Times New Roman"/>
          <w:sz w:val="24"/>
          <w:szCs w:val="24"/>
        </w:rPr>
        <w:tab/>
      </w:r>
    </w:p>
    <w:p w14:paraId="6A6ED4B6"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Oana Iulia Ivascu </w:t>
      </w:r>
    </w:p>
    <w:p w14:paraId="38E34693" w14:textId="77777777" w:rsidR="00871D0A" w:rsidRDefault="00000000">
      <w:pPr>
        <w:pStyle w:val="LO-normal"/>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Claudia Zarpellon </w:t>
      </w:r>
    </w:p>
    <w:p w14:paraId="021743EE" w14:textId="77777777" w:rsidR="00871D0A" w:rsidRDefault="00000000">
      <w:pPr>
        <w:pStyle w:val="LO-normal"/>
        <w:spacing w:line="360" w:lineRule="auto"/>
        <w:jc w:val="both"/>
        <w:rPr>
          <w:rFonts w:ascii="Times New Roman" w:eastAsia="Times New Roman" w:hAnsi="Times New Roman" w:cs="Times New Roman"/>
          <w:sz w:val="24"/>
          <w:szCs w:val="24"/>
        </w:rPr>
      </w:pPr>
      <w:r>
        <w:br w:type="page"/>
      </w:r>
    </w:p>
    <w:p w14:paraId="5195C2B9" w14:textId="6464D946"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Il Workshop dal titolo “Il coordinamento pedagogico di un’</w:t>
      </w:r>
      <w:r w:rsidR="00B24D63">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multidisciplinare: condivisione di buone prassi e nodi problematici” si è svolto in data 22/11/2024 a Corgeno (VA) presso la sede del Centro di Aggregazione Giovanile della Cooperativa sociale “L’Aquilone”.</w:t>
      </w:r>
    </w:p>
    <w:p w14:paraId="795C1510" w14:textId="77777777" w:rsidR="00871D0A" w:rsidRDefault="00871D0A">
      <w:pPr>
        <w:pStyle w:val="LO-normal"/>
        <w:spacing w:line="360" w:lineRule="auto"/>
        <w:jc w:val="both"/>
        <w:rPr>
          <w:rFonts w:ascii="Times New Roman" w:eastAsia="Times New Roman" w:hAnsi="Times New Roman" w:cs="Times New Roman"/>
          <w:sz w:val="24"/>
          <w:szCs w:val="24"/>
        </w:rPr>
      </w:pPr>
    </w:p>
    <w:p w14:paraId="5CA10032"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 nostro arrivo siamo stati accolti dalla coordinatrice del servizio di consulenza, la Dott.ssa Licia Vitale – pedagogista conduttrice del Workshop – e dalla Dott.ssa Tiziana Isella, educatrice, mediatrice familiare e referente tirocini, entrambe operatrici della Cooperativa.</w:t>
      </w:r>
    </w:p>
    <w:p w14:paraId="279161E5"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una prima fase dell’incontro, sono stati definiti i momenti della giornata e le tematiche che avremmo affrontato. L’attenzione e la cura rispetto al setting, alla relazione ed ai contenuti proposti è emersa fin da subito mediante un’accoglienza conviviale a base di caffè e biscotti. Il lavoro attorno al tavolo è così iniziato con una panoramica dei servizi proposti dalla cooperativa, per poi chiarire che una metodologia diretta e partecipata sarebbe stata quella prescelta per la conduzione dell’incontro. </w:t>
      </w:r>
    </w:p>
    <w:p w14:paraId="0F655EF8" w14:textId="77777777" w:rsidR="00871D0A" w:rsidRDefault="00871D0A">
      <w:pPr>
        <w:pStyle w:val="LO-normal"/>
        <w:spacing w:line="360" w:lineRule="auto"/>
        <w:jc w:val="both"/>
        <w:rPr>
          <w:rFonts w:ascii="Times New Roman" w:eastAsia="Times New Roman" w:hAnsi="Times New Roman" w:cs="Times New Roman"/>
          <w:sz w:val="24"/>
          <w:szCs w:val="24"/>
        </w:rPr>
      </w:pPr>
    </w:p>
    <w:p w14:paraId="3EF8FC3A"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“L'Aquilone è una Cooperativa Sociale di tipo A, che dal 1993 sviluppa interventi educativi, psicologici, sociali e culturali, in stretta sinergia con il territorio della Provincia di Varese.”</w:t>
      </w:r>
      <w:r>
        <w:rPr>
          <w:rStyle w:val="Richiamoallanotaapidipagina"/>
          <w:rFonts w:ascii="Times New Roman" w:eastAsia="Times New Roman" w:hAnsi="Times New Roman" w:cs="Times New Roman"/>
          <w:sz w:val="24"/>
          <w:szCs w:val="24"/>
        </w:rPr>
        <w:footnoteReference w:id="1"/>
      </w:r>
    </w:p>
    <w:p w14:paraId="70F11662"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Nello specifico, il Workshop a cui abbiamo aderito si è focalizzato su “Famiglie allo specchio” un “servizio di consulenza famigliare che si rivolge a tutte quelle persone che attraversano momenti più o meno stabili di fragilità o difficoltà e che non rientrano nei consueti canali di sostegno al minore e/o alla famiglia o che necessitano di una presa in carico prolungata nel tempo”</w:t>
      </w:r>
      <w:r>
        <w:rPr>
          <w:rStyle w:val="Richiamoallanotaapidipagina"/>
          <w:rFonts w:ascii="Times New Roman" w:eastAsia="Times New Roman" w:hAnsi="Times New Roman" w:cs="Times New Roman"/>
          <w:sz w:val="24"/>
          <w:szCs w:val="24"/>
        </w:rPr>
        <w:footnoteReference w:id="2"/>
      </w:r>
      <w:r>
        <w:rPr>
          <w:rFonts w:ascii="Times New Roman" w:eastAsia="Times New Roman" w:hAnsi="Times New Roman" w:cs="Times New Roman"/>
          <w:sz w:val="24"/>
          <w:szCs w:val="24"/>
        </w:rPr>
        <w:t>.</w:t>
      </w:r>
      <w:r>
        <w:rPr>
          <w:rFonts w:ascii="Times New Roman" w:eastAsia="Times New Roman" w:hAnsi="Times New Roman" w:cs="Times New Roman"/>
          <w:color w:val="FF00FF"/>
          <w:sz w:val="24"/>
          <w:szCs w:val="24"/>
        </w:rPr>
        <w:t xml:space="preserve"> </w:t>
      </w:r>
      <w:r>
        <w:rPr>
          <w:rFonts w:ascii="Times New Roman" w:eastAsia="Times New Roman" w:hAnsi="Times New Roman" w:cs="Times New Roman"/>
          <w:sz w:val="24"/>
          <w:szCs w:val="24"/>
        </w:rPr>
        <w:t>Lo spazio nasce dodici anni fa dall’intuizione degli operatori della cooperativa i quali, lavorando sul campo, hanno maturato la consapevolezza che l’assenza di una presa in carico del mondo adulto accanto al minore compromette l’efficacia degli interventi, motivo per cui sono arrivati ad una svolta mediante l’attivazione di consulenze pedagogiche, psicologiche ed interventi familiari a loro rivolti.</w:t>
      </w:r>
    </w:p>
    <w:p w14:paraId="6BF49B38"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Nel 2012 il servizio era un progetto sperimentale con ventisette nuclei familiari a carico, finanziato da fondi esterni che assicuravano la gratuità delle consulenze.  Negli anni sono poi giunti alla decisione di richiedere un contributo economico minimo – rimanendo dunque fruibile – a chiunque vi acceda, sia per valorizzare il lavoro degli operatori (assicurandone il benessere professionale) che per finanziare il servizio stesso indipendentemente dai bandi. </w:t>
      </w:r>
    </w:p>
    <w:p w14:paraId="21F3A9A8"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Ad oggi, le consulenze sono strutturate in pacchetti di incontri (cinque di consulenza pedagogica e dieci di terapia psicologica), ove solo i primi tre sono gratuiti. Attualmente all’interno di</w:t>
      </w:r>
      <w:r>
        <w:rPr>
          <w:rFonts w:ascii="Times New Roman" w:eastAsia="Times New Roman" w:hAnsi="Times New Roman" w:cs="Times New Roman"/>
          <w:color w:val="FF00FF"/>
          <w:sz w:val="24"/>
          <w:szCs w:val="24"/>
        </w:rPr>
        <w:t xml:space="preserve"> </w:t>
      </w:r>
      <w:r>
        <w:rPr>
          <w:rFonts w:ascii="Times New Roman" w:eastAsia="Times New Roman" w:hAnsi="Times New Roman" w:cs="Times New Roman"/>
          <w:sz w:val="24"/>
          <w:szCs w:val="24"/>
        </w:rPr>
        <w:t xml:space="preserve">“Famiglie allo specchio” è presente un'équipe multidisciplinare composta da cinque psicoterapeuti, quattro pedagogisti, due educatori professionali, un mediatore familiare e uno psicomotricista. </w:t>
      </w:r>
      <w:proofErr w:type="gramStart"/>
      <w:r>
        <w:rPr>
          <w:rFonts w:ascii="Times New Roman" w:eastAsia="Times New Roman" w:hAnsi="Times New Roman" w:cs="Times New Roman"/>
          <w:sz w:val="24"/>
          <w:szCs w:val="24"/>
        </w:rPr>
        <w:t>Un team così composto</w:t>
      </w:r>
      <w:proofErr w:type="gramEnd"/>
      <w:r>
        <w:rPr>
          <w:rFonts w:ascii="Times New Roman" w:eastAsia="Times New Roman" w:hAnsi="Times New Roman" w:cs="Times New Roman"/>
          <w:sz w:val="24"/>
          <w:szCs w:val="24"/>
        </w:rPr>
        <w:t xml:space="preserve"> consente di sviluppare uno sguardo d’insieme che risponde alla complessità dei casi accolti con diversi strumenti e competenze. Infatti, dopo il primo incontro con le famiglie, la pedagogista si confronta con gli altri professionisti per definire la risposta più efficace alle esigenze specifiche dei soggetti. </w:t>
      </w:r>
    </w:p>
    <w:p w14:paraId="1BC064AE"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percorso di consulenza, così come inteso dalla stessa coordinatrice, nasce e si sviluppa sulla base delle esigenze e necessità che i soggetti stessi portano all’attenzione della pedagogista: a seguito di un primo incontro conoscitivo si identificano le aree o tematiche su cui è necessario lavorare e si definisce insieme il percorso utile per poterle affrontare. In questo senso, come afferma Negri “i primi incontri tra consulente e cliente risultano fondamentali per delineare i profili del processo e i fondamenti della relazione. Per il consulente questo significa attivare le sue competenze relazionali e comunicative per creare un buon clima con il committente affinché si gettino le basi per la costruzione di un autentico rapporto di fiducia.”</w:t>
      </w:r>
      <w:r>
        <w:rPr>
          <w:rStyle w:val="Richiamoallanotaapidipagina"/>
          <w:rFonts w:ascii="Times New Roman" w:eastAsia="Times New Roman" w:hAnsi="Times New Roman" w:cs="Times New Roman"/>
          <w:sz w:val="24"/>
          <w:szCs w:val="24"/>
        </w:rPr>
        <w:footnoteReference w:id="3"/>
      </w:r>
    </w:p>
    <w:p w14:paraId="3EE32819" w14:textId="77777777" w:rsidR="00871D0A" w:rsidRDefault="00871D0A">
      <w:pPr>
        <w:pStyle w:val="LO-normal"/>
        <w:spacing w:line="360" w:lineRule="auto"/>
        <w:jc w:val="both"/>
        <w:rPr>
          <w:rFonts w:ascii="Times New Roman" w:eastAsia="Times New Roman" w:hAnsi="Times New Roman" w:cs="Times New Roman"/>
          <w:sz w:val="24"/>
          <w:szCs w:val="24"/>
        </w:rPr>
      </w:pPr>
    </w:p>
    <w:p w14:paraId="2B862C76" w14:textId="53DD8BC1" w:rsidR="00871D0A" w:rsidRDefault="00000000">
      <w:pPr>
        <w:pStyle w:val="LO-normal"/>
        <w:spacing w:line="360" w:lineRule="auto"/>
        <w:jc w:val="both"/>
        <w:rPr>
          <w:rFonts w:ascii="Times New Roman" w:eastAsia="Times New Roman" w:hAnsi="Times New Roman" w:cs="Times New Roman"/>
          <w:sz w:val="26"/>
          <w:szCs w:val="26"/>
        </w:rPr>
      </w:pPr>
      <w:r>
        <w:rPr>
          <w:rFonts w:ascii="Times New Roman" w:eastAsia="Times New Roman" w:hAnsi="Times New Roman" w:cs="Times New Roman"/>
          <w:sz w:val="24"/>
          <w:szCs w:val="24"/>
        </w:rPr>
        <w:t>All’interno del servizio sopra citato, la Dott.ssa Vitale, nel suo ruolo di coordinatrice dell’</w:t>
      </w:r>
      <w:r w:rsidR="00B24D63">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multidisciplinare, si occupa di diversi aspetti: il primo colloquio/ingresso dei beneficiari nel servizio (presa in carico della famiglia e strutturazione di un percorso di consulenza); la gestione delle relazioni di rete (accordi con le amministrazioni comunali, tutela minori,  professionisti territoriali,  neuropsichiatria infantile ed i privati); la gestione dell’</w:t>
      </w:r>
      <w:r w:rsidR="001870B4">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interna (coordinamento del gruppo di lavoro multidisciplinare, raccolta delle richieste e dei bisogni degli operatori, definizione di tempi e temi degli incontri, cura del setting dal punto di vista metodologico); la gestione economica e progettazione (fatturazione delle prestazioni che il servizio eroga e ricerca di finanziamenti - tramite bandi - per il miglioramento della qualità del servizio); la gestione della comunicazione (promozione dei propri servizi per esempio tramite la creazione di brochure e volantini).</w:t>
      </w:r>
    </w:p>
    <w:p w14:paraId="55647B7D" w14:textId="649740D3" w:rsidR="00871D0A" w:rsidRDefault="00000000">
      <w:pPr>
        <w:pStyle w:val="LO-normal"/>
        <w:spacing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L’operato della Dott.ssa Vitale all’interno del servizio pedagogico si caratterizza, </w:t>
      </w:r>
      <w:r w:rsidR="001870B4">
        <w:rPr>
          <w:rFonts w:ascii="Times New Roman" w:eastAsia="Times New Roman" w:hAnsi="Times New Roman" w:cs="Times New Roman"/>
          <w:sz w:val="24"/>
          <w:szCs w:val="24"/>
        </w:rPr>
        <w:t>dunque, per</w:t>
      </w:r>
      <w:r>
        <w:rPr>
          <w:rFonts w:ascii="Times New Roman" w:eastAsia="Times New Roman" w:hAnsi="Times New Roman" w:cs="Times New Roman"/>
          <w:sz w:val="24"/>
          <w:szCs w:val="24"/>
        </w:rPr>
        <w:t xml:space="preserve"> la gestione articolata e integrata di molteplici aspetti, dalla presa in carico delle famiglie alla coordinazione di un’équipe multidisciplinare. La varietà delle professionalità coinvolte rende necessario un lavoro continuo di mediazione e condivisione, essenziale per garantire una </w:t>
      </w:r>
      <w:r>
        <w:rPr>
          <w:rFonts w:ascii="Times New Roman" w:eastAsia="Times New Roman" w:hAnsi="Times New Roman" w:cs="Times New Roman"/>
          <w:sz w:val="24"/>
          <w:szCs w:val="24"/>
        </w:rPr>
        <w:lastRenderedPageBreak/>
        <w:t>collaborazione efficace e coerente. La multidisciplinarietà dell’</w:t>
      </w:r>
      <w:r w:rsidR="001870B4">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del servizio rende infatti la funzione del coordinamento particolarmente complessa: i bisogni di condivisione variano molto a seconda delle diverse professionalità.</w:t>
      </w:r>
    </w:p>
    <w:p w14:paraId="0AE25556"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 detto, la sua attività non si limita alla dimensione relazionale e metodologica, ma abbraccia anche la gestione economica, la progettazione e la comunicazione del servizio, evidenziando un approccio sistemico orientato al miglioramento continuo. Questo approccio consente di rispondere in modo puntuale alle esigenze dei beneficiari, favorendo al contempo la crescita professionale degli operatori e la sostenibilità del servizio nel tempo. </w:t>
      </w:r>
    </w:p>
    <w:p w14:paraId="27F07F70" w14:textId="77777777" w:rsidR="00871D0A" w:rsidRDefault="00871D0A">
      <w:pPr>
        <w:pStyle w:val="LO-normal"/>
        <w:spacing w:line="360" w:lineRule="auto"/>
        <w:jc w:val="both"/>
        <w:rPr>
          <w:rFonts w:ascii="Times New Roman" w:eastAsia="Times New Roman" w:hAnsi="Times New Roman" w:cs="Times New Roman"/>
          <w:sz w:val="24"/>
          <w:szCs w:val="24"/>
        </w:rPr>
      </w:pPr>
    </w:p>
    <w:p w14:paraId="5055B232" w14:textId="7C76E4A5" w:rsidR="00871D0A" w:rsidRDefault="00000000">
      <w:pPr>
        <w:pStyle w:val="LO-normal"/>
        <w:spacing w:after="240" w:line="36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La funzione del coordinatore è quindi fondamentale quando si ha a che fare con dei gruppi di lavoro, l’importanza di questo ruolo è stata sottolineata da diversi autori tra cui Premoli che ribadisce “la necessità di mettere in campo forme di coordinamento che sappiano costruire collaborazioni vaste differenziate ma con una marcata impronta pedagogica cioè in grado di non smarrire la mission educativa dell’insieme.</w:t>
      </w:r>
      <w:r>
        <w:rPr>
          <w:rStyle w:val="Richiamoallanotaapidipagina"/>
          <w:rFonts w:ascii="Times New Roman" w:eastAsia="Times New Roman" w:hAnsi="Times New Roman" w:cs="Times New Roman"/>
          <w:sz w:val="24"/>
          <w:szCs w:val="24"/>
        </w:rPr>
        <w:footnoteReference w:id="4"/>
      </w:r>
      <w:r>
        <w:rPr>
          <w:rFonts w:ascii="Times New Roman" w:eastAsia="Times New Roman" w:hAnsi="Times New Roman" w:cs="Times New Roman"/>
          <w:sz w:val="24"/>
          <w:szCs w:val="24"/>
        </w:rPr>
        <w:t xml:space="preserve"> Ancora Riva nel suo libro “</w:t>
      </w:r>
      <w:r w:rsidR="001870B4">
        <w:rPr>
          <w:rFonts w:ascii="Times New Roman" w:eastAsia="Times New Roman" w:hAnsi="Times New Roman" w:cs="Times New Roman"/>
          <w:sz w:val="24"/>
          <w:szCs w:val="24"/>
        </w:rPr>
        <w:t>I</w:t>
      </w:r>
      <w:r>
        <w:rPr>
          <w:rFonts w:ascii="Times New Roman" w:eastAsia="Times New Roman" w:hAnsi="Times New Roman" w:cs="Times New Roman"/>
          <w:sz w:val="24"/>
          <w:szCs w:val="24"/>
        </w:rPr>
        <w:t>l lavoro pedagogico”</w:t>
      </w:r>
      <w:r>
        <w:rPr>
          <w:rStyle w:val="Richiamoallanotaapidipagina"/>
          <w:rFonts w:ascii="Times New Roman" w:eastAsia="Times New Roman" w:hAnsi="Times New Roman" w:cs="Times New Roman"/>
          <w:sz w:val="24"/>
          <w:szCs w:val="24"/>
        </w:rPr>
        <w:footnoteReference w:id="5"/>
      </w:r>
      <w:r>
        <w:rPr>
          <w:rFonts w:ascii="Times New Roman" w:eastAsia="Times New Roman" w:hAnsi="Times New Roman" w:cs="Times New Roman"/>
          <w:sz w:val="24"/>
          <w:szCs w:val="24"/>
        </w:rPr>
        <w:t xml:space="preserve"> definisce il coordinatore come “colui che attiva azioni di raccordo, coordinamento, stimolo, riepilogo, accoglimento e difficoltà cercando di capire la realtà culturale in cui vivono gli allievi ed i loro bisogni immediati.”</w:t>
      </w:r>
      <w:r>
        <w:rPr>
          <w:rStyle w:val="Richiamoallanotaapidipagina"/>
          <w:rFonts w:ascii="Times New Roman" w:eastAsia="Times New Roman" w:hAnsi="Times New Roman" w:cs="Times New Roman"/>
          <w:sz w:val="24"/>
          <w:szCs w:val="24"/>
        </w:rPr>
        <w:footnoteReference w:id="6"/>
      </w:r>
    </w:p>
    <w:p w14:paraId="02A1FF16"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caratterizzare lo stile di “L’Aquilone” è la progettazione di interventi educativi che si focalizzano su un’attenta lettura dei bisogni delle famiglie e del territorio: “al consulente deve interessare la percezione globale che il cliente ha del suo contesto e del suo problema”.</w:t>
      </w:r>
      <w:r>
        <w:rPr>
          <w:rStyle w:val="Richiamoallanotaapidipagina"/>
          <w:rFonts w:ascii="Times New Roman" w:eastAsia="Times New Roman" w:hAnsi="Times New Roman" w:cs="Times New Roman"/>
          <w:sz w:val="24"/>
          <w:szCs w:val="24"/>
        </w:rPr>
        <w:footnoteReference w:id="7"/>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Dunque, la consulenza, intesa come afferma Schein</w:t>
      </w:r>
      <w:r>
        <w:rPr>
          <w:rStyle w:val="Richiamoallanotaapidipagina"/>
          <w:rFonts w:ascii="Times New Roman" w:eastAsia="Times New Roman" w:hAnsi="Times New Roman" w:cs="Times New Roman"/>
          <w:sz w:val="24"/>
          <w:szCs w:val="24"/>
          <w:highlight w:val="white"/>
        </w:rPr>
        <w:footnoteReference w:id="8"/>
      </w:r>
      <w:r>
        <w:rPr>
          <w:rFonts w:ascii="Times New Roman" w:eastAsia="Times New Roman" w:hAnsi="Times New Roman" w:cs="Times New Roman"/>
          <w:sz w:val="24"/>
          <w:szCs w:val="24"/>
          <w:highlight w:val="white"/>
        </w:rPr>
        <w:t xml:space="preserve"> all’interno del suo testo, consiste nello sviluppare una relazione con il cliente che lo metta in condizione di riconoscere, interpretare e intervenire sugli eventi che si verificano nel suo contesto interno ed esterno, con l’obiettivo di apportare modifiche in linea con la propria visione. Questo approccio supporta il consulente nel superare le aree di mancata conoscenza. Al cuore di questo modello si trova l’idea che i clienti debbano essere stimolati a mantenere sempre un ruolo attivo, sia nell’analisi della situazione sia nell’identificazione delle soluzioni necessarie. I problemi appartengono al cliente, che è l’unico a possedere una conoscenza completa della realtà in cui opera e delle soluzioni più adatte alla propria cultura e al proprio ambiente. </w:t>
      </w:r>
      <w:r>
        <w:rPr>
          <w:rFonts w:ascii="Times New Roman" w:eastAsia="Times New Roman" w:hAnsi="Times New Roman" w:cs="Times New Roman"/>
          <w:sz w:val="24"/>
          <w:szCs w:val="24"/>
        </w:rPr>
        <w:t xml:space="preserve">“Famiglie allo specchio” chiede </w:t>
      </w:r>
      <w:r>
        <w:rPr>
          <w:rFonts w:ascii="Times New Roman" w:eastAsia="Times New Roman" w:hAnsi="Times New Roman" w:cs="Times New Roman"/>
          <w:sz w:val="24"/>
          <w:szCs w:val="24"/>
        </w:rPr>
        <w:lastRenderedPageBreak/>
        <w:t xml:space="preserve">soprattutto all’adulto di attivarsi tramite una serie di colloqui dedicati ai genitori/tutori prima di coinvolgere i minori: questa scelta ha l’obiettivo di responsabilizzare gli adulti e, al tempo stesso, evitare di sovraccaricare il minore creando in lui un’esperienza negativa legata al setting terapeutico, il quale potrebbe compromettere un futuro accesso a questo genere di supporti. </w:t>
      </w:r>
      <w:r>
        <w:rPr>
          <w:rFonts w:ascii="Times New Roman" w:eastAsia="Times New Roman" w:hAnsi="Times New Roman" w:cs="Times New Roman"/>
          <w:sz w:val="24"/>
          <w:szCs w:val="24"/>
          <w:highlight w:val="white"/>
        </w:rPr>
        <w:t>In quest’ottica, sempre secondo il modello di consulenza proposto da Schein</w:t>
      </w:r>
      <w:r>
        <w:rPr>
          <w:rStyle w:val="Richiamoallanotaapidipagina"/>
          <w:rFonts w:ascii="Times New Roman" w:eastAsia="Times New Roman" w:hAnsi="Times New Roman" w:cs="Times New Roman"/>
          <w:sz w:val="24"/>
          <w:szCs w:val="24"/>
          <w:highlight w:val="white"/>
        </w:rPr>
        <w:footnoteReference w:id="9"/>
      </w:r>
      <w:r>
        <w:rPr>
          <w:rFonts w:ascii="Times New Roman" w:eastAsia="Times New Roman" w:hAnsi="Times New Roman" w:cs="Times New Roman"/>
          <w:sz w:val="24"/>
          <w:szCs w:val="24"/>
          <w:highlight w:val="white"/>
        </w:rPr>
        <w:t xml:space="preserve">, l’idea del consulente come un esperto che offre conclusioni poco comprensibili per il cliente dovrebbe essere superata. È importante evitare che il consulente si presenti con risposte standardizzate o soluzioni già predisposte: le domande dovrebbero risultare pertinenti e adeguate al contesto delle esigenze espresse dal cliente. </w:t>
      </w:r>
    </w:p>
    <w:p w14:paraId="1BC39715" w14:textId="77777777" w:rsidR="00871D0A" w:rsidRDefault="00871D0A">
      <w:pPr>
        <w:pStyle w:val="LO-normal"/>
        <w:spacing w:line="360" w:lineRule="auto"/>
        <w:jc w:val="both"/>
        <w:rPr>
          <w:rFonts w:ascii="Times New Roman" w:eastAsia="Times New Roman" w:hAnsi="Times New Roman" w:cs="Times New Roman"/>
          <w:b/>
          <w:sz w:val="26"/>
          <w:szCs w:val="26"/>
        </w:rPr>
      </w:pPr>
    </w:p>
    <w:p w14:paraId="3987BAED" w14:textId="38FEE326"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Dott.ssa Vitale ha proposto al nostro gruppo di lavorare a coppie su tre casi concreti, nello specifico, ci veniva richiesto di immedesimarci nel ruolo di coordinatore: come avremmo gestito la situazione al suo posto? Due coppie hanno scelto il caso legato al rapporto con il comune nell’avvio di un rinnovo di una presa in carico precedentemente fallimentare, mentre la rimanente coppia ha optato per un caso di gestione di un’</w:t>
      </w:r>
      <w:r w:rsidR="00B24D63">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multidisciplinare che si occupava di una minore psichiatrica. </w:t>
      </w:r>
    </w:p>
    <w:p w14:paraId="271AECB7"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Ciascuno di noi ha ragionato partendo dalle proprie esperienze lavorative e dalle proprie competenze teoriche, arricchite da quelle dei compagni, per essere infine tematizzate e commentate dalla Dott.ssa Vitale, la quale ci ha guidati nell’osservazione e nell’analisi, tramite uno sguardo di secondo livello, mediante domande e stimoli. </w:t>
      </w:r>
    </w:p>
    <w:p w14:paraId="4EF8016B" w14:textId="77777777" w:rsidR="00871D0A" w:rsidRDefault="00000000">
      <w:pPr>
        <w:pStyle w:val="LO-normal"/>
        <w:spacing w:line="360" w:lineRule="auto"/>
        <w:jc w:val="both"/>
        <w:rPr>
          <w:rFonts w:ascii="Times New Roman" w:eastAsia="Times New Roman" w:hAnsi="Times New Roman" w:cs="Times New Roman"/>
          <w:color w:val="4A86E8"/>
          <w:sz w:val="24"/>
          <w:szCs w:val="24"/>
        </w:rPr>
      </w:pPr>
      <w:r>
        <w:rPr>
          <w:rFonts w:ascii="Times New Roman" w:eastAsia="Times New Roman" w:hAnsi="Times New Roman" w:cs="Times New Roman"/>
          <w:sz w:val="24"/>
          <w:szCs w:val="24"/>
        </w:rPr>
        <w:t>Il confronto fra noi studenti e la coordinatrice è stato molto arricchente poiché ci ha permesso di sperimentare in prima persona che cosa significhi lavorare in équipe e quali siano gli elementi che dovremmo sempre prendere in considerazione nel nostro futuro lavorativo.</w:t>
      </w:r>
    </w:p>
    <w:p w14:paraId="1B5B5704"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Abbiamo potuto riflettere anche sulla complessità delle funzioni del coordinamento, quali “pensiero, sostegno, tutela dell’azione educativa; governo di aspetti organizzativi e interpretativi relativi a eventi, situazioni, informazioni; di promozione dell’integrazione di punti di vista diversi e plurali […] riconducibili a quello che viene chiamato modello multidimensionale del coordinamento.”</w:t>
      </w:r>
      <w:r>
        <w:rPr>
          <w:rStyle w:val="Richiamoallanotaapidipagina"/>
          <w:rFonts w:ascii="Times New Roman" w:eastAsia="Times New Roman" w:hAnsi="Times New Roman" w:cs="Times New Roman"/>
          <w:sz w:val="24"/>
          <w:szCs w:val="24"/>
        </w:rPr>
        <w:footnoteReference w:id="10"/>
      </w:r>
      <w:r>
        <w:rPr>
          <w:rFonts w:ascii="Times New Roman" w:eastAsia="Times New Roman" w:hAnsi="Times New Roman" w:cs="Times New Roman"/>
          <w:sz w:val="24"/>
          <w:szCs w:val="24"/>
        </w:rPr>
        <w:t xml:space="preserve"> Quest’ultimo infatti comprende: dimensione pedagogica progettuale, culturale, organizzativa, istituzionale, territoriale e di rete, dimensione di conduzione e cura del gruppo di lavoro.</w:t>
      </w:r>
    </w:p>
    <w:p w14:paraId="1A25F292"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Inoltre, abbiamo riscontrato l’importanza per una figura di secondo livello, quale il coordinatore, di “assumere uno sguardo pedagogico nell’osservare, pensare e agire ogni aspetto del proprio ruolo [...]”</w:t>
      </w:r>
      <w:r>
        <w:rPr>
          <w:rStyle w:val="Richiamoallanotaapidipagina"/>
          <w:rFonts w:ascii="Times New Roman" w:eastAsia="Times New Roman" w:hAnsi="Times New Roman" w:cs="Times New Roman"/>
          <w:sz w:val="24"/>
          <w:szCs w:val="24"/>
        </w:rPr>
        <w:footnoteReference w:id="11"/>
      </w:r>
      <w:r>
        <w:rPr>
          <w:rFonts w:ascii="Times New Roman" w:eastAsia="Times New Roman" w:hAnsi="Times New Roman" w:cs="Times New Roman"/>
          <w:sz w:val="24"/>
          <w:szCs w:val="24"/>
        </w:rPr>
        <w:t>. La parte di riflessione si è poi conclusa con la condivisione di una parola, emozione, simbolo che potesse riassumere quanto vissuto durante la mattinata.</w:t>
      </w:r>
    </w:p>
    <w:p w14:paraId="3CD794C5" w14:textId="77777777" w:rsidR="00871D0A" w:rsidRDefault="00871D0A">
      <w:pPr>
        <w:pStyle w:val="LO-normal"/>
        <w:spacing w:line="360" w:lineRule="auto"/>
        <w:jc w:val="both"/>
        <w:rPr>
          <w:rFonts w:ascii="Times New Roman" w:eastAsia="Times New Roman" w:hAnsi="Times New Roman" w:cs="Times New Roman"/>
          <w:sz w:val="24"/>
          <w:szCs w:val="24"/>
        </w:rPr>
      </w:pPr>
    </w:p>
    <w:p w14:paraId="35731937"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Una volta ultimata la parte dal vivo, la Dott.ssa Vitale ci ha salutati accompagnandoci in una sala a noi dedicata per permetterci di realizzare la rielaborazione di quanto ascoltato e la stesura del presente elaborato. In questa fase, consultando il sito della Cooperativa, ci ha colpito molto questa citazione: “Far diventare collettivo il progetto individuale. Far sentire all’individuo di essere parte di un progetto collettivo.”</w:t>
      </w:r>
      <w:r>
        <w:rPr>
          <w:rStyle w:val="Richiamoallanotaapidipagina"/>
          <w:rFonts w:ascii="Times New Roman" w:eastAsia="Times New Roman" w:hAnsi="Times New Roman" w:cs="Times New Roman"/>
          <w:sz w:val="24"/>
          <w:szCs w:val="24"/>
        </w:rPr>
        <w:footnoteReference w:id="12"/>
      </w:r>
      <w:r>
        <w:rPr>
          <w:rFonts w:ascii="Times New Roman" w:eastAsia="Times New Roman" w:hAnsi="Times New Roman" w:cs="Times New Roman"/>
          <w:sz w:val="24"/>
          <w:szCs w:val="24"/>
        </w:rPr>
        <w:t xml:space="preserve"> Dal nostro punto di vista, questa frase racchiude l’emblema dell’esperienza svolta e pone l’accento rispetto all’intreccio di relazioni tra la dimensione micro e macro del lavoro educativo.</w:t>
      </w:r>
    </w:p>
    <w:p w14:paraId="1B9B300B" w14:textId="77777777" w:rsidR="00871D0A" w:rsidRDefault="00871D0A">
      <w:pPr>
        <w:pStyle w:val="LO-normal"/>
        <w:spacing w:line="360" w:lineRule="auto"/>
        <w:jc w:val="both"/>
        <w:rPr>
          <w:rFonts w:ascii="Times New Roman" w:eastAsia="Times New Roman" w:hAnsi="Times New Roman" w:cs="Times New Roman"/>
          <w:b/>
          <w:sz w:val="26"/>
          <w:szCs w:val="26"/>
        </w:rPr>
      </w:pPr>
    </w:p>
    <w:p w14:paraId="2B8EE067"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L’esperienza del Workshop ha evidenziato quanto, attraverso la cura dell’Altro, sia possibile favorire la costruzione di un’identità personale e orientare il soggetto verso un percorso di vita significativo, in equilibrio tra conoscenza di sé e sviluppo personale, infatti: “La formazione educante [...] può realizzarsi solo attraverso il prendersi cura, [...] una formazione che avviene attraverso la cura dell’altro [...] può permettere [...] di trovare una propria dimensione identitaria. Una formazione educante che attraverso la cura dell’altro deve spingere il soggetto a progettare il proprio senso e il proprio cammino della vita nella tensione tra conoscenza di sé e costruzione di sé.”</w:t>
      </w:r>
      <w:r>
        <w:rPr>
          <w:rStyle w:val="Richiamoallanotaapidipagina"/>
          <w:rFonts w:ascii="Times New Roman" w:eastAsia="Times New Roman" w:hAnsi="Times New Roman" w:cs="Times New Roman"/>
          <w:sz w:val="24"/>
          <w:szCs w:val="24"/>
        </w:rPr>
        <w:footnoteReference w:id="13"/>
      </w:r>
      <w:r>
        <w:rPr>
          <w:rFonts w:ascii="Times New Roman" w:eastAsia="Times New Roman" w:hAnsi="Times New Roman" w:cs="Times New Roman"/>
          <w:sz w:val="24"/>
          <w:szCs w:val="24"/>
        </w:rPr>
        <w:t xml:space="preserve"> </w:t>
      </w:r>
    </w:p>
    <w:p w14:paraId="2343910F" w14:textId="77777777" w:rsidR="00871D0A" w:rsidRDefault="00871D0A">
      <w:pPr>
        <w:pStyle w:val="LO-normal"/>
        <w:spacing w:line="360" w:lineRule="auto"/>
        <w:jc w:val="both"/>
        <w:rPr>
          <w:rFonts w:ascii="Times New Roman" w:eastAsia="Times New Roman" w:hAnsi="Times New Roman" w:cs="Times New Roman"/>
          <w:sz w:val="24"/>
          <w:szCs w:val="24"/>
        </w:rPr>
      </w:pPr>
    </w:p>
    <w:p w14:paraId="7220A46B"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L’incontro ha permesso a tutti i partecipanti di accrescere il proprio bagaglio culturale ed esperienziale circa le figure di secondo livello: non sempre, infatti, è facile allontanarsi dallo sguardo di educatore per entrare in quello di coordinatore e/o pedagogista. Potersi rapportare in prima persona con la Dott.ssa Vitale ci ha aiutato molto a comprendere con più chiarezza quale sia la rosa degli interventi possibili sul campo, e il posizionamento da attuare rispetto alla rete interna ed esterna. </w:t>
      </w:r>
    </w:p>
    <w:p w14:paraId="69509102" w14:textId="77777777" w:rsidR="00871D0A" w:rsidRDefault="00871D0A">
      <w:pPr>
        <w:pStyle w:val="LO-normal"/>
        <w:spacing w:line="360" w:lineRule="auto"/>
        <w:jc w:val="both"/>
        <w:rPr>
          <w:rFonts w:ascii="Times New Roman" w:eastAsia="Times New Roman" w:hAnsi="Times New Roman" w:cs="Times New Roman"/>
          <w:sz w:val="24"/>
          <w:szCs w:val="24"/>
        </w:rPr>
      </w:pPr>
    </w:p>
    <w:p w14:paraId="52D7E88B" w14:textId="77777777" w:rsidR="00871D0A" w:rsidRDefault="00000000">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Attraverso una metodologia partecipata, la Dott.ssa Vitale ci ha guidato in un percorso di riflessione che ha sottolineato l’importanza del ruolo di coordinamento pedagogico fondato su competenze relazionali, progettuali e organizzative. Questo ruolo si distingue per la capacità di integrare prospettive diverse, promuovendo la collaborazione all’interno di un’équipe eterogenea e favorendo l’empowerment dei beneficiari. Il confronto in gruppo e la condivisione delle nostre diverse esperienze lavorative, difficoltà e curiosità sull’argomento, ha consentito il libero fluire di idee, suggerimenti e dibattiti che hanno mantenuto alto il livello di attenzione ed interesse durante tutto l’arco della mattinata. </w:t>
      </w:r>
    </w:p>
    <w:p w14:paraId="40010F23" w14:textId="77777777" w:rsidR="00871D0A" w:rsidRDefault="00871D0A">
      <w:pPr>
        <w:pStyle w:val="LO-normal"/>
        <w:spacing w:line="360" w:lineRule="auto"/>
      </w:pPr>
    </w:p>
    <w:p w14:paraId="03AE881C" w14:textId="77777777" w:rsidR="00871D0A" w:rsidRDefault="00871D0A">
      <w:pPr>
        <w:pStyle w:val="LO-normal"/>
        <w:spacing w:line="360" w:lineRule="auto"/>
      </w:pPr>
    </w:p>
    <w:p w14:paraId="2B32EE66" w14:textId="77777777" w:rsidR="00871D0A" w:rsidRDefault="00000000">
      <w:pPr>
        <w:pStyle w:val="LO-normal"/>
        <w:spacing w:after="240" w:line="360" w:lineRule="auto"/>
        <w:rPr>
          <w:rFonts w:ascii="Times New Roman" w:eastAsia="Times New Roman" w:hAnsi="Times New Roman" w:cs="Times New Roman"/>
        </w:rPr>
      </w:pPr>
      <w:r>
        <w:rPr>
          <w:rFonts w:ascii="Times New Roman" w:eastAsia="Times New Roman" w:hAnsi="Times New Roman" w:cs="Times New Roman"/>
          <w:b/>
          <w:sz w:val="26"/>
          <w:szCs w:val="26"/>
        </w:rPr>
        <w:t>Riferimenti bibliografici</w:t>
      </w:r>
    </w:p>
    <w:p w14:paraId="5BF07C0C" w14:textId="77777777" w:rsidR="00871D0A" w:rsidRDefault="00000000" w:rsidP="001870B4">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Calaprice, S. (2020) “</w:t>
      </w:r>
      <w:r>
        <w:rPr>
          <w:rFonts w:ascii="Times New Roman" w:eastAsia="Times New Roman" w:hAnsi="Times New Roman" w:cs="Times New Roman"/>
          <w:i/>
          <w:sz w:val="24"/>
          <w:szCs w:val="24"/>
        </w:rPr>
        <w:t>Educatori e pedagogisti tra formazione e autoformazione</w:t>
      </w:r>
      <w:r>
        <w:rPr>
          <w:rFonts w:ascii="Times New Roman" w:eastAsia="Times New Roman" w:hAnsi="Times New Roman" w:cs="Times New Roman"/>
          <w:sz w:val="24"/>
          <w:szCs w:val="24"/>
        </w:rPr>
        <w:t>”, Milano, Franco Angeli.</w:t>
      </w:r>
    </w:p>
    <w:p w14:paraId="33D3ACA8" w14:textId="77777777" w:rsidR="00871D0A" w:rsidRDefault="00000000" w:rsidP="001870B4">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Negri, S. (2014) “</w:t>
      </w:r>
      <w:r>
        <w:rPr>
          <w:rFonts w:ascii="Times New Roman" w:eastAsia="Times New Roman" w:hAnsi="Times New Roman" w:cs="Times New Roman"/>
          <w:i/>
          <w:sz w:val="24"/>
          <w:szCs w:val="24"/>
        </w:rPr>
        <w:t>La consulenza pedagogica</w:t>
      </w:r>
      <w:r>
        <w:rPr>
          <w:rFonts w:ascii="Times New Roman" w:eastAsia="Times New Roman" w:hAnsi="Times New Roman" w:cs="Times New Roman"/>
          <w:sz w:val="24"/>
          <w:szCs w:val="24"/>
        </w:rPr>
        <w:t>”, Milano, Carocci.</w:t>
      </w:r>
    </w:p>
    <w:p w14:paraId="5A9369C5" w14:textId="3498B272" w:rsidR="00871D0A" w:rsidRDefault="00000000" w:rsidP="001870B4">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Riva, M.G. (2005) “</w:t>
      </w:r>
      <w:r>
        <w:rPr>
          <w:rFonts w:ascii="Times New Roman" w:eastAsia="Times New Roman" w:hAnsi="Times New Roman" w:cs="Times New Roman"/>
          <w:i/>
          <w:sz w:val="24"/>
          <w:szCs w:val="24"/>
        </w:rPr>
        <w:t>Il lavoro pedagogico</w:t>
      </w:r>
      <w:r>
        <w:rPr>
          <w:rFonts w:ascii="Times New Roman" w:eastAsia="Times New Roman" w:hAnsi="Times New Roman" w:cs="Times New Roman"/>
          <w:sz w:val="24"/>
          <w:szCs w:val="24"/>
        </w:rPr>
        <w:t>”, Milano, Guerini Scientifica.</w:t>
      </w:r>
    </w:p>
    <w:p w14:paraId="644D8201" w14:textId="6102A0E5" w:rsidR="00871D0A" w:rsidRDefault="00000000" w:rsidP="001870B4">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Shein, E.H. (2001) “</w:t>
      </w:r>
      <w:r>
        <w:rPr>
          <w:rFonts w:ascii="Times New Roman" w:eastAsia="Times New Roman" w:hAnsi="Times New Roman" w:cs="Times New Roman"/>
          <w:i/>
          <w:sz w:val="24"/>
          <w:szCs w:val="24"/>
        </w:rPr>
        <w:t>La consulenza di processo</w:t>
      </w:r>
      <w:r>
        <w:rPr>
          <w:rFonts w:ascii="Times New Roman" w:eastAsia="Times New Roman" w:hAnsi="Times New Roman" w:cs="Times New Roman"/>
          <w:sz w:val="24"/>
          <w:szCs w:val="24"/>
        </w:rPr>
        <w:t>”, Milano, Raffaello Cortina.</w:t>
      </w:r>
    </w:p>
    <w:p w14:paraId="0C815F98" w14:textId="77777777" w:rsidR="00871D0A" w:rsidRDefault="00000000" w:rsidP="001870B4">
      <w:pPr>
        <w:pStyle w:val="LO-normal"/>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Premoli, S. (2008) “</w:t>
      </w:r>
      <w:r>
        <w:rPr>
          <w:rFonts w:ascii="Times New Roman" w:eastAsia="Times New Roman" w:hAnsi="Times New Roman" w:cs="Times New Roman"/>
          <w:i/>
          <w:sz w:val="24"/>
          <w:szCs w:val="24"/>
        </w:rPr>
        <w:t>Il coordinamento pedagogico nei servizi socioeducativi</w:t>
      </w:r>
      <w:r>
        <w:rPr>
          <w:rFonts w:ascii="Times New Roman" w:eastAsia="Times New Roman" w:hAnsi="Times New Roman" w:cs="Times New Roman"/>
          <w:sz w:val="24"/>
          <w:szCs w:val="24"/>
        </w:rPr>
        <w:t>”, Milano, Franco Angeli.</w:t>
      </w:r>
    </w:p>
    <w:p w14:paraId="5A3D0E07" w14:textId="77777777" w:rsidR="00871D0A" w:rsidRDefault="00871D0A" w:rsidP="001870B4">
      <w:pPr>
        <w:pStyle w:val="LO-normal"/>
        <w:spacing w:line="360" w:lineRule="auto"/>
        <w:ind w:left="720"/>
        <w:jc w:val="both"/>
        <w:rPr>
          <w:rFonts w:ascii="Times New Roman" w:eastAsia="Times New Roman" w:hAnsi="Times New Roman" w:cs="Times New Roman"/>
          <w:sz w:val="24"/>
          <w:szCs w:val="24"/>
          <w:highlight w:val="yellow"/>
        </w:rPr>
      </w:pPr>
    </w:p>
    <w:p w14:paraId="73500B24" w14:textId="77777777" w:rsidR="00871D0A" w:rsidRDefault="00000000">
      <w:pPr>
        <w:pStyle w:val="LO-normal"/>
        <w:spacing w:after="240" w:line="360" w:lineRule="auto"/>
        <w:rPr>
          <w:rFonts w:ascii="Times New Roman" w:eastAsia="Times New Roman" w:hAnsi="Times New Roman" w:cs="Times New Roman"/>
          <w:sz w:val="24"/>
          <w:szCs w:val="24"/>
        </w:rPr>
      </w:pPr>
      <w:r>
        <w:rPr>
          <w:rFonts w:ascii="Times New Roman" w:eastAsia="Times New Roman" w:hAnsi="Times New Roman" w:cs="Times New Roman"/>
          <w:b/>
          <w:sz w:val="26"/>
          <w:szCs w:val="26"/>
        </w:rPr>
        <w:t>Sitografia</w:t>
      </w:r>
    </w:p>
    <w:p w14:paraId="60C853CB" w14:textId="77777777" w:rsidR="00871D0A" w:rsidRDefault="00000000">
      <w:pPr>
        <w:pStyle w:val="LO-normal"/>
        <w:spacing w:line="36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Curriculum d’impresa L’aquilone S.C.S al sito </w:t>
      </w:r>
      <w:hyperlink r:id="rId7">
        <w:r>
          <w:rPr>
            <w:rFonts w:ascii="Times New Roman" w:eastAsia="Times New Roman" w:hAnsi="Times New Roman" w:cs="Times New Roman"/>
            <w:i/>
            <w:sz w:val="24"/>
            <w:szCs w:val="24"/>
          </w:rPr>
          <w:t>https://www.laquilonescs.it/l-aquilone</w:t>
        </w:r>
      </w:hyperlink>
    </w:p>
    <w:p w14:paraId="00438C5C" w14:textId="77777777" w:rsidR="00871D0A" w:rsidRDefault="00871D0A">
      <w:pPr>
        <w:pStyle w:val="LO-normal"/>
        <w:spacing w:line="360" w:lineRule="auto"/>
        <w:rPr>
          <w:rFonts w:ascii="Times New Roman" w:eastAsia="Times New Roman" w:hAnsi="Times New Roman" w:cs="Times New Roman"/>
          <w:sz w:val="24"/>
          <w:szCs w:val="24"/>
        </w:rPr>
      </w:pPr>
    </w:p>
    <w:sectPr w:rsidR="00871D0A">
      <w:headerReference w:type="default" r:id="rId8"/>
      <w:pgSz w:w="11906" w:h="16838"/>
      <w:pgMar w:top="1440" w:right="1440" w:bottom="1440" w:left="1440" w:header="720" w:footer="0"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C7357B" w14:textId="77777777" w:rsidR="00411331" w:rsidRDefault="00411331">
      <w:pPr>
        <w:spacing w:line="240" w:lineRule="auto"/>
      </w:pPr>
      <w:r>
        <w:separator/>
      </w:r>
    </w:p>
  </w:endnote>
  <w:endnote w:type="continuationSeparator" w:id="0">
    <w:p w14:paraId="17C381DB" w14:textId="77777777" w:rsidR="00411331" w:rsidRDefault="0041133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FBF32" w14:textId="77777777" w:rsidR="00411331" w:rsidRDefault="00411331">
      <w:pPr>
        <w:pStyle w:val="LO-normal"/>
        <w:rPr>
          <w:sz w:val="12"/>
        </w:rPr>
      </w:pPr>
    </w:p>
  </w:footnote>
  <w:footnote w:type="continuationSeparator" w:id="0">
    <w:p w14:paraId="77ED9716" w14:textId="77777777" w:rsidR="00411331" w:rsidRDefault="00411331">
      <w:pPr>
        <w:pStyle w:val="LO-normal"/>
        <w:rPr>
          <w:sz w:val="12"/>
        </w:rPr>
      </w:pPr>
    </w:p>
  </w:footnote>
  <w:footnote w:id="1">
    <w:p w14:paraId="3ABD46AC" w14:textId="77777777" w:rsidR="00871D0A" w:rsidRPr="001870B4"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Curriculum d’impresa della cooperativa sociale “</w:t>
      </w:r>
      <w:r>
        <w:rPr>
          <w:rFonts w:ascii="Times New Roman" w:eastAsia="Times New Roman" w:hAnsi="Times New Roman" w:cs="Times New Roman"/>
          <w:i/>
          <w:sz w:val="20"/>
          <w:szCs w:val="20"/>
        </w:rPr>
        <w:t>L’Aquilone</w:t>
      </w:r>
      <w:r>
        <w:rPr>
          <w:rFonts w:ascii="Times New Roman" w:eastAsia="Times New Roman" w:hAnsi="Times New Roman" w:cs="Times New Roman"/>
          <w:sz w:val="20"/>
          <w:szCs w:val="20"/>
        </w:rPr>
        <w:t xml:space="preserve">” al sito: </w:t>
      </w:r>
      <w:hyperlink r:id="rId1">
        <w:r w:rsidRPr="001870B4">
          <w:rPr>
            <w:rFonts w:ascii="Times New Roman" w:eastAsia="Times New Roman" w:hAnsi="Times New Roman" w:cs="Times New Roman"/>
            <w:i/>
            <w:sz w:val="20"/>
            <w:szCs w:val="20"/>
          </w:rPr>
          <w:t>https://www.laquilonescs.it/l-aquilone</w:t>
        </w:r>
      </w:hyperlink>
    </w:p>
  </w:footnote>
  <w:footnote w:id="2">
    <w:p w14:paraId="0A4CF7A0" w14:textId="77777777"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Ivi</w:t>
      </w:r>
    </w:p>
  </w:footnote>
  <w:footnote w:id="3">
    <w:p w14:paraId="45C45F03" w14:textId="5AFD4B6F" w:rsidR="00871D0A" w:rsidRDefault="00000000">
      <w:pPr>
        <w:pStyle w:val="LO-normal"/>
        <w:spacing w:line="240" w:lineRule="auto"/>
        <w:rPr>
          <w:rFonts w:ascii="Times New Roman" w:eastAsia="Times New Roman" w:hAnsi="Times New Roman" w:cs="Times New Roman"/>
          <w:sz w:val="20"/>
          <w:szCs w:val="20"/>
          <w:highlight w:val="yellow"/>
        </w:rPr>
      </w:pPr>
      <w:r>
        <w:rPr>
          <w:rStyle w:val="Caratterinotaapidipagina"/>
        </w:rPr>
        <w:footnoteRef/>
      </w:r>
      <w:r>
        <w:rPr>
          <w:rFonts w:ascii="Times New Roman" w:eastAsia="Times New Roman" w:hAnsi="Times New Roman" w:cs="Times New Roman"/>
          <w:sz w:val="20"/>
          <w:szCs w:val="20"/>
        </w:rPr>
        <w:t xml:space="preserve"> S. Negri,</w:t>
      </w:r>
      <w:r w:rsidR="001870B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La consulenza pedagogica</w:t>
      </w:r>
      <w:r>
        <w:rPr>
          <w:rFonts w:ascii="Times New Roman" w:eastAsia="Times New Roman" w:hAnsi="Times New Roman" w:cs="Times New Roman"/>
          <w:sz w:val="20"/>
          <w:szCs w:val="20"/>
        </w:rPr>
        <w:t xml:space="preserve">”, Milano, Carocci, 2014, pp. 65. </w:t>
      </w:r>
    </w:p>
  </w:footnote>
  <w:footnote w:id="4">
    <w:p w14:paraId="197DBE2C" w14:textId="77777777" w:rsidR="00871D0A" w:rsidRPr="001870B4" w:rsidRDefault="00000000">
      <w:pPr>
        <w:pStyle w:val="LO-normal"/>
        <w:spacing w:line="240" w:lineRule="auto"/>
        <w:rPr>
          <w:rFonts w:ascii="Times New Roman" w:eastAsia="Times New Roman" w:hAnsi="Times New Roman" w:cs="Times New Roman"/>
          <w:iCs/>
          <w:sz w:val="20"/>
          <w:szCs w:val="20"/>
        </w:rPr>
      </w:pPr>
      <w:r w:rsidRPr="001870B4">
        <w:rPr>
          <w:rStyle w:val="Caratterinotaapidipagina"/>
          <w:sz w:val="20"/>
          <w:szCs w:val="20"/>
        </w:rPr>
        <w:footnoteRef/>
      </w:r>
      <w:r w:rsidRPr="001870B4">
        <w:rPr>
          <w:rFonts w:ascii="Times New Roman" w:eastAsia="Times New Roman" w:hAnsi="Times New Roman" w:cs="Times New Roman"/>
          <w:sz w:val="20"/>
          <w:szCs w:val="20"/>
        </w:rPr>
        <w:t xml:space="preserve"> </w:t>
      </w:r>
      <w:r w:rsidRPr="001870B4">
        <w:rPr>
          <w:rFonts w:ascii="Times New Roman" w:eastAsia="Times New Roman" w:hAnsi="Times New Roman" w:cs="Times New Roman"/>
          <w:iCs/>
          <w:sz w:val="20"/>
          <w:szCs w:val="20"/>
        </w:rPr>
        <w:t>S. Premoli, op. cit., p. 160</w:t>
      </w:r>
    </w:p>
  </w:footnote>
  <w:footnote w:id="5">
    <w:p w14:paraId="07F56DC9" w14:textId="4CF8AA97" w:rsidR="00871D0A" w:rsidRDefault="00000000">
      <w:pPr>
        <w:pStyle w:val="LO-normal"/>
        <w:spacing w:line="240" w:lineRule="auto"/>
        <w:rPr>
          <w:rFonts w:ascii="Times New Roman" w:eastAsia="Times New Roman" w:hAnsi="Times New Roman" w:cs="Times New Roman"/>
          <w:sz w:val="16"/>
          <w:szCs w:val="16"/>
        </w:rPr>
      </w:pPr>
      <w:r>
        <w:rPr>
          <w:rStyle w:val="Caratterinotaapidipagina"/>
        </w:rPr>
        <w:footnoteRef/>
      </w:r>
      <w:r w:rsidR="001870B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M.G. Riva, “</w:t>
      </w:r>
      <w:r>
        <w:rPr>
          <w:rFonts w:ascii="Times New Roman" w:eastAsia="Times New Roman" w:hAnsi="Times New Roman" w:cs="Times New Roman"/>
          <w:i/>
          <w:sz w:val="20"/>
          <w:szCs w:val="20"/>
        </w:rPr>
        <w:t>Il lavoro pedagogico”</w:t>
      </w:r>
      <w:r>
        <w:rPr>
          <w:rFonts w:ascii="Times New Roman" w:eastAsia="Times New Roman" w:hAnsi="Times New Roman" w:cs="Times New Roman"/>
          <w:sz w:val="20"/>
          <w:szCs w:val="20"/>
        </w:rPr>
        <w:t>, Milano, Guerini Scientifica, 2005, p. 23.</w:t>
      </w:r>
    </w:p>
  </w:footnote>
  <w:footnote w:id="6">
    <w:p w14:paraId="6D817CA7" w14:textId="3839814B"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sidR="001870B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Ivi</w:t>
      </w:r>
    </w:p>
  </w:footnote>
  <w:footnote w:id="7">
    <w:p w14:paraId="1B97FB32" w14:textId="77777777" w:rsidR="00871D0A" w:rsidRDefault="00000000">
      <w:pPr>
        <w:pStyle w:val="LO-normal"/>
        <w:spacing w:line="240" w:lineRule="auto"/>
        <w:rPr>
          <w:rFonts w:ascii="Times New Roman" w:eastAsia="Times New Roman" w:hAnsi="Times New Roman" w:cs="Times New Roman"/>
          <w:sz w:val="20"/>
          <w:szCs w:val="20"/>
          <w:highlight w:val="yellow"/>
        </w:rPr>
      </w:pPr>
      <w:r>
        <w:rPr>
          <w:rStyle w:val="Caratterinotaapidipagina"/>
        </w:rPr>
        <w:footnoteRef/>
      </w:r>
      <w:r>
        <w:rPr>
          <w:rFonts w:ascii="Times New Roman" w:eastAsia="Times New Roman" w:hAnsi="Times New Roman" w:cs="Times New Roman"/>
          <w:sz w:val="20"/>
          <w:szCs w:val="20"/>
        </w:rPr>
        <w:t xml:space="preserve"> Ivi, pp. 71.</w:t>
      </w:r>
      <w:r>
        <w:rPr>
          <w:rFonts w:ascii="Times New Roman" w:eastAsia="Times New Roman" w:hAnsi="Times New Roman" w:cs="Times New Roman"/>
          <w:sz w:val="20"/>
          <w:szCs w:val="20"/>
          <w:highlight w:val="yellow"/>
        </w:rPr>
        <w:t xml:space="preserve"> </w:t>
      </w:r>
    </w:p>
  </w:footnote>
  <w:footnote w:id="8">
    <w:p w14:paraId="308C6FA0" w14:textId="77777777"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E. </w:t>
      </w:r>
      <w:proofErr w:type="gramStart"/>
      <w:r>
        <w:rPr>
          <w:rFonts w:ascii="Times New Roman" w:eastAsia="Times New Roman" w:hAnsi="Times New Roman" w:cs="Times New Roman"/>
          <w:sz w:val="20"/>
          <w:szCs w:val="20"/>
        </w:rPr>
        <w:t>Shein,“</w:t>
      </w:r>
      <w:proofErr w:type="gramEnd"/>
      <w:r>
        <w:rPr>
          <w:rFonts w:ascii="Times New Roman" w:eastAsia="Times New Roman" w:hAnsi="Times New Roman" w:cs="Times New Roman"/>
          <w:i/>
          <w:sz w:val="20"/>
          <w:szCs w:val="20"/>
        </w:rPr>
        <w:t>La consulenza di processo</w:t>
      </w:r>
      <w:r>
        <w:rPr>
          <w:rFonts w:ascii="Times New Roman" w:eastAsia="Times New Roman" w:hAnsi="Times New Roman" w:cs="Times New Roman"/>
          <w:sz w:val="20"/>
          <w:szCs w:val="20"/>
        </w:rPr>
        <w:t xml:space="preserve">”, Milano, Raffaello Cortina, 2001. </w:t>
      </w:r>
    </w:p>
  </w:footnote>
  <w:footnote w:id="9">
    <w:p w14:paraId="16A32B63" w14:textId="57A4CB70"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E. Shein,</w:t>
      </w:r>
      <w:r w:rsidR="001870B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w:t>
      </w:r>
      <w:r>
        <w:rPr>
          <w:rFonts w:ascii="Times New Roman" w:eastAsia="Times New Roman" w:hAnsi="Times New Roman" w:cs="Times New Roman"/>
          <w:i/>
          <w:sz w:val="20"/>
          <w:szCs w:val="20"/>
        </w:rPr>
        <w:t>La consulenza di processo</w:t>
      </w:r>
      <w:r>
        <w:rPr>
          <w:rFonts w:ascii="Times New Roman" w:eastAsia="Times New Roman" w:hAnsi="Times New Roman" w:cs="Times New Roman"/>
          <w:sz w:val="20"/>
          <w:szCs w:val="20"/>
        </w:rPr>
        <w:t xml:space="preserve">”, Milano, Raffaello Cortina, 2001. </w:t>
      </w:r>
    </w:p>
  </w:footnote>
  <w:footnote w:id="10">
    <w:p w14:paraId="0CC43BC7" w14:textId="3F60FE89"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S.</w:t>
      </w:r>
      <w:r w:rsidR="001870B4">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Premoli,“</w:t>
      </w:r>
      <w:proofErr w:type="gramEnd"/>
      <w:r>
        <w:rPr>
          <w:rFonts w:ascii="Times New Roman" w:eastAsia="Times New Roman" w:hAnsi="Times New Roman" w:cs="Times New Roman"/>
          <w:i/>
          <w:sz w:val="20"/>
          <w:szCs w:val="20"/>
        </w:rPr>
        <w:t>Il coordinamento pedagogico nei servizi socioeducativi</w:t>
      </w:r>
      <w:r>
        <w:rPr>
          <w:rFonts w:ascii="Times New Roman" w:eastAsia="Times New Roman" w:hAnsi="Times New Roman" w:cs="Times New Roman"/>
          <w:sz w:val="20"/>
          <w:szCs w:val="20"/>
        </w:rPr>
        <w:t>”,  Milano, Franco Angeli,  2008, pp.</w:t>
      </w:r>
      <w:r w:rsidR="001870B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204-208.</w:t>
      </w:r>
    </w:p>
  </w:footnote>
  <w:footnote w:id="11">
    <w:p w14:paraId="5F35E75B" w14:textId="77777777"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 xml:space="preserve"> Ivi, pp.204-208.</w:t>
      </w:r>
    </w:p>
  </w:footnote>
  <w:footnote w:id="12">
    <w:p w14:paraId="31F97264" w14:textId="77777777"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18"/>
          <w:szCs w:val="18"/>
        </w:rPr>
        <w:t xml:space="preserve"> </w:t>
      </w:r>
      <w:hyperlink r:id="rId2">
        <w:r>
          <w:rPr>
            <w:rFonts w:ascii="Times New Roman" w:eastAsia="Times New Roman" w:hAnsi="Times New Roman" w:cs="Times New Roman"/>
            <w:color w:val="1155CC"/>
            <w:sz w:val="20"/>
            <w:szCs w:val="20"/>
            <w:u w:val="single"/>
          </w:rPr>
          <w:t>https://www.laquilonescs.it/l-aquilone</w:t>
        </w:r>
      </w:hyperlink>
    </w:p>
  </w:footnote>
  <w:footnote w:id="13">
    <w:p w14:paraId="49A6221F" w14:textId="681D5DB4" w:rsidR="00871D0A" w:rsidRDefault="00000000">
      <w:pPr>
        <w:pStyle w:val="LO-normal"/>
        <w:spacing w:line="240" w:lineRule="auto"/>
        <w:rPr>
          <w:rFonts w:ascii="Times New Roman" w:eastAsia="Times New Roman" w:hAnsi="Times New Roman" w:cs="Times New Roman"/>
          <w:sz w:val="20"/>
          <w:szCs w:val="20"/>
        </w:rPr>
      </w:pPr>
      <w:r>
        <w:rPr>
          <w:rStyle w:val="Caratterinotaapidipagina"/>
        </w:rPr>
        <w:footnoteRef/>
      </w:r>
      <w:r>
        <w:rPr>
          <w:rFonts w:ascii="Times New Roman" w:eastAsia="Times New Roman" w:hAnsi="Times New Roman" w:cs="Times New Roman"/>
          <w:sz w:val="20"/>
          <w:szCs w:val="20"/>
        </w:rPr>
        <w:t>S. Calaprice, “</w:t>
      </w:r>
      <w:r>
        <w:rPr>
          <w:rFonts w:ascii="Times New Roman" w:eastAsia="Times New Roman" w:hAnsi="Times New Roman" w:cs="Times New Roman"/>
          <w:i/>
          <w:sz w:val="20"/>
          <w:szCs w:val="20"/>
        </w:rPr>
        <w:t>Educatori e pedagogisti tra formazione e autoformazione</w:t>
      </w:r>
      <w:r>
        <w:rPr>
          <w:rFonts w:ascii="Times New Roman" w:eastAsia="Times New Roman" w:hAnsi="Times New Roman" w:cs="Times New Roman"/>
          <w:sz w:val="20"/>
          <w:szCs w:val="20"/>
        </w:rPr>
        <w:t>”, Milano, Franco Angeli, 2020, p. 53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BDFB7" w14:textId="77777777" w:rsidR="00871D0A" w:rsidRDefault="00871D0A">
    <w:pPr>
      <w:pStyle w:val="LO-normal"/>
      <w:spacing w:before="240" w:line="240" w:lineRule="auto"/>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1D0A"/>
    <w:rsid w:val="001870B4"/>
    <w:rsid w:val="00411331"/>
    <w:rsid w:val="00871D0A"/>
    <w:rsid w:val="00B24D63"/>
    <w:rsid w:val="00B76EBC"/>
    <w:rsid w:val="00FC665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57321"/>
  <w15:docId w15:val="{49D08F42-D2EF-4484-97A9-7139B06FC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it"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line="276" w:lineRule="auto"/>
    </w:pPr>
  </w:style>
  <w:style w:type="paragraph" w:styleId="Titolo1">
    <w:name w:val="heading 1"/>
    <w:basedOn w:val="LO-normal"/>
    <w:next w:val="LO-normal"/>
    <w:uiPriority w:val="9"/>
    <w:qFormat/>
    <w:pPr>
      <w:keepNext/>
      <w:keepLines/>
      <w:spacing w:before="400" w:after="120" w:line="240" w:lineRule="auto"/>
      <w:outlineLvl w:val="0"/>
    </w:pPr>
    <w:rPr>
      <w:sz w:val="40"/>
      <w:szCs w:val="40"/>
    </w:rPr>
  </w:style>
  <w:style w:type="paragraph" w:styleId="Titolo2">
    <w:name w:val="heading 2"/>
    <w:basedOn w:val="LO-normal"/>
    <w:next w:val="LO-normal"/>
    <w:uiPriority w:val="9"/>
    <w:semiHidden/>
    <w:unhideWhenUsed/>
    <w:qFormat/>
    <w:pPr>
      <w:keepNext/>
      <w:keepLines/>
      <w:spacing w:before="360" w:after="120" w:line="240" w:lineRule="auto"/>
      <w:outlineLvl w:val="1"/>
    </w:pPr>
    <w:rPr>
      <w:sz w:val="32"/>
      <w:szCs w:val="32"/>
    </w:rPr>
  </w:style>
  <w:style w:type="paragraph" w:styleId="Titolo3">
    <w:name w:val="heading 3"/>
    <w:basedOn w:val="LO-normal"/>
    <w:next w:val="LO-normal"/>
    <w:uiPriority w:val="9"/>
    <w:semiHidden/>
    <w:unhideWhenUsed/>
    <w:qFormat/>
    <w:pPr>
      <w:keepNext/>
      <w:keepLines/>
      <w:spacing w:before="320" w:after="80" w:line="240" w:lineRule="auto"/>
      <w:outlineLvl w:val="2"/>
    </w:pPr>
    <w:rPr>
      <w:color w:val="434343"/>
      <w:sz w:val="28"/>
      <w:szCs w:val="28"/>
    </w:rPr>
  </w:style>
  <w:style w:type="paragraph" w:styleId="Titolo4">
    <w:name w:val="heading 4"/>
    <w:basedOn w:val="LO-normal"/>
    <w:next w:val="LO-normal"/>
    <w:uiPriority w:val="9"/>
    <w:semiHidden/>
    <w:unhideWhenUsed/>
    <w:qFormat/>
    <w:pPr>
      <w:keepNext/>
      <w:keepLines/>
      <w:spacing w:before="280" w:after="80" w:line="240" w:lineRule="auto"/>
      <w:outlineLvl w:val="3"/>
    </w:pPr>
    <w:rPr>
      <w:color w:val="666666"/>
      <w:sz w:val="24"/>
      <w:szCs w:val="24"/>
    </w:rPr>
  </w:style>
  <w:style w:type="paragraph" w:styleId="Titolo5">
    <w:name w:val="heading 5"/>
    <w:basedOn w:val="LO-normal"/>
    <w:next w:val="LO-normal"/>
    <w:uiPriority w:val="9"/>
    <w:semiHidden/>
    <w:unhideWhenUsed/>
    <w:qFormat/>
    <w:pPr>
      <w:keepNext/>
      <w:keepLines/>
      <w:spacing w:before="240" w:after="80" w:line="240" w:lineRule="auto"/>
      <w:outlineLvl w:val="4"/>
    </w:pPr>
    <w:rPr>
      <w:color w:val="666666"/>
    </w:rPr>
  </w:style>
  <w:style w:type="paragraph" w:styleId="Titolo6">
    <w:name w:val="heading 6"/>
    <w:basedOn w:val="LO-normal"/>
    <w:next w:val="LO-normal"/>
    <w:uiPriority w:val="9"/>
    <w:semiHidden/>
    <w:unhideWhenUsed/>
    <w:qFormat/>
    <w:pPr>
      <w:keepNext/>
      <w:keepLines/>
      <w:spacing w:before="240" w:after="80" w:line="240" w:lineRule="auto"/>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rPr>
      <w:color w:val="000080"/>
      <w:u w:val="single"/>
      <w:lang/>
    </w:rPr>
  </w:style>
  <w:style w:type="character" w:customStyle="1" w:styleId="Caratterinotaapidipagina">
    <w:name w:val="Caratteri nota a piè di pagina"/>
    <w:qFormat/>
  </w:style>
  <w:style w:type="character" w:customStyle="1" w:styleId="Richiamoallanotaapidipagina">
    <w:name w:val="Richiamo alla nota a piè di pagina"/>
    <w:rPr>
      <w:vertAlign w:val="superscript"/>
    </w:rPr>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LO-normal"/>
    <w:next w:val="Corpotesto"/>
    <w:uiPriority w:val="10"/>
    <w:qFormat/>
    <w:pPr>
      <w:keepNext/>
      <w:keepLines/>
      <w:spacing w:after="60" w:line="240" w:lineRule="auto"/>
    </w:pPr>
    <w:rPr>
      <w:sz w:val="52"/>
      <w:szCs w:val="52"/>
    </w:rPr>
  </w:style>
  <w:style w:type="paragraph" w:styleId="Corpotesto">
    <w:name w:val="Body Text"/>
    <w:basedOn w:val="Normale"/>
    <w:pPr>
      <w:spacing w:after="140"/>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customStyle="1" w:styleId="LO-normal">
    <w:name w:val="LO-normal"/>
    <w:qFormat/>
    <w:pPr>
      <w:spacing w:line="276" w:lineRule="auto"/>
    </w:pPr>
  </w:style>
  <w:style w:type="paragraph" w:styleId="Sottotitolo">
    <w:name w:val="Subtitle"/>
    <w:basedOn w:val="LO-normal"/>
    <w:next w:val="LO-normal"/>
    <w:uiPriority w:val="11"/>
    <w:qFormat/>
    <w:pPr>
      <w:keepNext/>
      <w:keepLines/>
      <w:spacing w:after="320" w:line="240" w:lineRule="auto"/>
    </w:pPr>
    <w:rPr>
      <w:color w:val="666666"/>
      <w:sz w:val="30"/>
      <w:szCs w:val="30"/>
    </w:rPr>
  </w:style>
  <w:style w:type="paragraph" w:styleId="Testonotaapidipagina">
    <w:name w:val="footnote text"/>
    <w:basedOn w:val="Normale"/>
  </w:style>
  <w:style w:type="paragraph" w:customStyle="1" w:styleId="Intestazioneepidipagina">
    <w:name w:val="Intestazione e piè di pagina"/>
    <w:basedOn w:val="Normale"/>
    <w:qFormat/>
  </w:style>
  <w:style w:type="paragraph" w:styleId="Intestazione">
    <w:name w:val="header"/>
    <w:basedOn w:val="Intestazioneepidipagina"/>
  </w:style>
  <w:style w:type="table" w:customStyle="1" w:styleId="TableNormal">
    <w:name w:val="Table Normal"/>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laquilonescs.it/l-aquilon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laquilonescs.it/l-aquilone" TargetMode="External"/><Relationship Id="rId1" Type="http://schemas.openxmlformats.org/officeDocument/2006/relationships/hyperlink" Target="https://www.laquilonescs.it/l-aquil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7</Pages>
  <Words>2180</Words>
  <Characters>12432</Characters>
  <Application>Microsoft Office Word</Application>
  <DocSecurity>0</DocSecurity>
  <Lines>103</Lines>
  <Paragraphs>29</Paragraphs>
  <ScaleCrop>false</ScaleCrop>
  <Company/>
  <LinksUpToDate>false</LinksUpToDate>
  <CharactersWithSpaces>14583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Eginardo</dc:creator>
  <dc:description/>
  <cp:lastModifiedBy>Paola Eginardo</cp:lastModifiedBy>
  <cp:revision>4</cp:revision>
  <dcterms:created xsi:type="dcterms:W3CDTF">2025-01-13T19:13:00Z</dcterms:created>
  <dcterms:modified xsi:type="dcterms:W3CDTF">2025-01-13T19:19:00Z</dcterms:modified>
  <dc:language>it-IT</dc:language>
</cp:coreProperties>
</file>