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697125" w14:textId="77777777" w:rsidR="002778DF" w:rsidRDefault="007D06E4">
      <w:pPr>
        <w:spacing w:before="240"/>
        <w:jc w:val="center"/>
        <w:rPr>
          <w:rFonts w:ascii="Times New Roman" w:eastAsia="Times New Roman" w:hAnsi="Times New Roman" w:cs="Times New Roman"/>
          <w:sz w:val="24"/>
          <w:szCs w:val="24"/>
        </w:rPr>
      </w:pPr>
      <w:r>
        <w:rPr>
          <w:rFonts w:ascii="Calibri" w:eastAsia="Calibri" w:hAnsi="Calibri" w:cs="Calibri"/>
          <w:noProof/>
          <w:sz w:val="32"/>
          <w:szCs w:val="32"/>
        </w:rPr>
        <w:drawing>
          <wp:anchor distT="114300" distB="114300" distL="114300" distR="114300" simplePos="0" relativeHeight="251658240" behindDoc="0" locked="0" layoutInCell="1" hidden="0" allowOverlap="1" wp14:anchorId="41697197" wp14:editId="41697198">
            <wp:simplePos x="0" y="0"/>
            <wp:positionH relativeFrom="margin">
              <wp:align>center</wp:align>
            </wp:positionH>
            <wp:positionV relativeFrom="margin">
              <wp:align>top</wp:align>
            </wp:positionV>
            <wp:extent cx="1655731" cy="1624013"/>
            <wp:effectExtent l="0" t="0" r="0" b="0"/>
            <wp:wrapTopAndBottom distT="114300" distB="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655731" cy="1624013"/>
                    </a:xfrm>
                    <a:prstGeom prst="rect">
                      <a:avLst/>
                    </a:prstGeom>
                    <a:ln/>
                  </pic:spPr>
                </pic:pic>
              </a:graphicData>
            </a:graphic>
          </wp:anchor>
        </w:drawing>
      </w:r>
      <w:r>
        <w:rPr>
          <w:rFonts w:ascii="Times New Roman" w:eastAsia="Times New Roman" w:hAnsi="Times New Roman" w:cs="Times New Roman"/>
          <w:sz w:val="24"/>
          <w:szCs w:val="24"/>
        </w:rPr>
        <w:t>Tirocinio Formativo e di Orientamento</w:t>
      </w:r>
    </w:p>
    <w:p w14:paraId="41697126" w14:textId="77777777" w:rsidR="002778DF" w:rsidRDefault="007D06E4">
      <w:pPr>
        <w:ind w:firstLine="140"/>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Corso di Laurea Magistrale in Scienze Pedagogiche</w:t>
      </w:r>
    </w:p>
    <w:p w14:paraId="41697127" w14:textId="77777777" w:rsidR="002778DF" w:rsidRDefault="007D06E4">
      <w:pPr>
        <w:ind w:firstLine="140"/>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Dipartimento di Scienze Umane per la Formazione “Riccardo Massa”</w:t>
      </w:r>
    </w:p>
    <w:p w14:paraId="41697128" w14:textId="77777777" w:rsidR="002778DF" w:rsidRDefault="007D06E4">
      <w:pPr>
        <w:ind w:firstLine="140"/>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Università degli Studi di Milano – Bicocca</w:t>
      </w:r>
    </w:p>
    <w:p w14:paraId="41697129" w14:textId="77777777" w:rsidR="002778DF" w:rsidRDefault="007D06E4">
      <w:pPr>
        <w:ind w:left="2700"/>
        <w:jc w:val="center"/>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 </w:t>
      </w:r>
    </w:p>
    <w:p w14:paraId="4169712A" w14:textId="77777777" w:rsidR="002778DF" w:rsidRDefault="007D06E4">
      <w:pPr>
        <w:ind w:left="2700"/>
        <w:jc w:val="both"/>
        <w:rPr>
          <w:rFonts w:ascii="Times New Roman" w:eastAsia="Times New Roman" w:hAnsi="Times New Roman" w:cs="Times New Roman"/>
          <w:i/>
        </w:rPr>
      </w:pPr>
      <w:r>
        <w:rPr>
          <w:rFonts w:ascii="Times New Roman" w:eastAsia="Times New Roman" w:hAnsi="Times New Roman" w:cs="Times New Roman"/>
          <w:i/>
        </w:rPr>
        <w:t xml:space="preserve"> </w:t>
      </w:r>
    </w:p>
    <w:p w14:paraId="4169712B" w14:textId="77777777" w:rsidR="002778DF" w:rsidRDefault="007D06E4">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Workshop anno accademico 2024/25 </w:t>
      </w:r>
    </w:p>
    <w:p w14:paraId="4169712C" w14:textId="77777777" w:rsidR="002778DF" w:rsidRDefault="002778DF">
      <w:pPr>
        <w:jc w:val="center"/>
        <w:rPr>
          <w:rFonts w:ascii="Times New Roman" w:eastAsia="Times New Roman" w:hAnsi="Times New Roman" w:cs="Times New Roman"/>
          <w:b/>
          <w:sz w:val="24"/>
          <w:szCs w:val="24"/>
        </w:rPr>
      </w:pPr>
    </w:p>
    <w:p w14:paraId="4169712D" w14:textId="0E51D7AB" w:rsidR="002778DF" w:rsidRDefault="007D06E4">
      <w:pPr>
        <w:jc w:val="center"/>
        <w:rPr>
          <w:rFonts w:ascii="Times New Roman" w:eastAsia="Times New Roman" w:hAnsi="Times New Roman" w:cs="Times New Roman"/>
          <w:b/>
          <w:i/>
          <w:sz w:val="28"/>
          <w:szCs w:val="28"/>
        </w:rPr>
      </w:pPr>
      <w:r>
        <w:rPr>
          <w:rFonts w:ascii="Times New Roman" w:eastAsia="Times New Roman" w:hAnsi="Times New Roman" w:cs="Times New Roman"/>
          <w:b/>
          <w:i/>
          <w:color w:val="212529"/>
          <w:sz w:val="24"/>
          <w:szCs w:val="24"/>
        </w:rPr>
        <w:t>Come osservare le dinamiche d’équipe e sviluppare uno strumento di osservazione?</w:t>
      </w:r>
    </w:p>
    <w:p w14:paraId="340BFE98" w14:textId="77777777" w:rsidR="009C4CE8" w:rsidRDefault="009C4CE8" w:rsidP="009C4CE8">
      <w:pPr>
        <w:jc w:val="center"/>
        <w:rPr>
          <w:rFonts w:ascii="Times New Roman" w:eastAsia="Times New Roman" w:hAnsi="Times New Roman" w:cs="Times New Roman"/>
          <w:b/>
          <w:sz w:val="24"/>
          <w:szCs w:val="24"/>
        </w:rPr>
      </w:pPr>
    </w:p>
    <w:p w14:paraId="1810AE85" w14:textId="77777777" w:rsidR="00AA11D1" w:rsidRDefault="007D06E4" w:rsidP="009C4CE8">
      <w:pPr>
        <w:jc w:val="center"/>
        <w:rPr>
          <w:rFonts w:ascii="Times New Roman" w:eastAsia="Times New Roman" w:hAnsi="Times New Roman" w:cs="Times New Roman"/>
          <w:b/>
          <w:sz w:val="24"/>
          <w:szCs w:val="24"/>
        </w:rPr>
      </w:pPr>
      <w:r w:rsidRPr="009C4CE8">
        <w:rPr>
          <w:rFonts w:ascii="Times New Roman" w:eastAsia="Times New Roman" w:hAnsi="Times New Roman" w:cs="Times New Roman"/>
          <w:bCs/>
          <w:sz w:val="24"/>
          <w:szCs w:val="24"/>
        </w:rPr>
        <w:t>25/11/2014</w:t>
      </w:r>
    </w:p>
    <w:p w14:paraId="60AD3314" w14:textId="77777777" w:rsidR="00AA11D1" w:rsidRDefault="007D06E4" w:rsidP="009C4CE8">
      <w:pPr>
        <w:jc w:val="center"/>
        <w:rPr>
          <w:rFonts w:ascii="Times New Roman" w:eastAsia="Times New Roman" w:hAnsi="Times New Roman" w:cs="Times New Roman"/>
          <w:color w:val="212529"/>
          <w:sz w:val="24"/>
          <w:szCs w:val="24"/>
          <w:highlight w:val="white"/>
        </w:rPr>
      </w:pPr>
      <w:r>
        <w:rPr>
          <w:rFonts w:ascii="Times New Roman" w:eastAsia="Times New Roman" w:hAnsi="Times New Roman" w:cs="Times New Roman"/>
          <w:color w:val="212529"/>
          <w:sz w:val="24"/>
          <w:szCs w:val="24"/>
          <w:highlight w:val="white"/>
        </w:rPr>
        <w:t>Servizio residenziale Alloggi per l’Autonomia mamma/bambino</w:t>
      </w:r>
    </w:p>
    <w:p w14:paraId="4169712F" w14:textId="692C39AB" w:rsidR="002778DF" w:rsidRPr="009C4CE8" w:rsidRDefault="007D06E4" w:rsidP="009C4CE8">
      <w:pPr>
        <w:jc w:val="center"/>
        <w:rPr>
          <w:rFonts w:ascii="Times New Roman" w:eastAsia="Times New Roman" w:hAnsi="Times New Roman" w:cs="Times New Roman"/>
          <w:b/>
          <w:sz w:val="24"/>
          <w:szCs w:val="24"/>
        </w:rPr>
      </w:pPr>
      <w:r>
        <w:rPr>
          <w:rFonts w:ascii="Times New Roman" w:eastAsia="Times New Roman" w:hAnsi="Times New Roman" w:cs="Times New Roman"/>
          <w:color w:val="212529"/>
          <w:sz w:val="24"/>
          <w:szCs w:val="24"/>
          <w:highlight w:val="white"/>
        </w:rPr>
        <w:t>Via Beato Michele da Carcano 4, Milano</w:t>
      </w:r>
    </w:p>
    <w:p w14:paraId="062ACF2A" w14:textId="77777777" w:rsidR="000B16A7" w:rsidRDefault="000B16A7">
      <w:pPr>
        <w:rPr>
          <w:rFonts w:ascii="Times New Roman" w:eastAsia="Times New Roman" w:hAnsi="Times New Roman" w:cs="Times New Roman"/>
          <w:i/>
        </w:rPr>
      </w:pPr>
    </w:p>
    <w:p w14:paraId="23BEB73A" w14:textId="77777777" w:rsidR="000B16A7" w:rsidRDefault="000B16A7">
      <w:pPr>
        <w:rPr>
          <w:rFonts w:ascii="Times New Roman" w:eastAsia="Times New Roman" w:hAnsi="Times New Roman" w:cs="Times New Roman"/>
          <w:i/>
        </w:rPr>
      </w:pPr>
    </w:p>
    <w:p w14:paraId="0B1C9FF9" w14:textId="77777777" w:rsidR="000B16A7" w:rsidRDefault="000B16A7">
      <w:pPr>
        <w:rPr>
          <w:rFonts w:ascii="Times New Roman" w:eastAsia="Times New Roman" w:hAnsi="Times New Roman" w:cs="Times New Roman"/>
          <w:i/>
        </w:rPr>
      </w:pPr>
    </w:p>
    <w:p w14:paraId="62E0850F" w14:textId="77777777" w:rsidR="000B16A7" w:rsidRDefault="000B16A7">
      <w:pPr>
        <w:rPr>
          <w:rFonts w:ascii="Times New Roman" w:eastAsia="Times New Roman" w:hAnsi="Times New Roman" w:cs="Times New Roman"/>
          <w:i/>
        </w:rPr>
      </w:pPr>
    </w:p>
    <w:p w14:paraId="4D280607" w14:textId="77777777" w:rsidR="000B16A7" w:rsidRDefault="000B16A7">
      <w:pPr>
        <w:rPr>
          <w:rFonts w:ascii="Times New Roman" w:eastAsia="Times New Roman" w:hAnsi="Times New Roman" w:cs="Times New Roman"/>
          <w:i/>
        </w:rPr>
      </w:pPr>
    </w:p>
    <w:p w14:paraId="1B771625" w14:textId="77777777" w:rsidR="000B16A7" w:rsidRDefault="000B16A7">
      <w:pPr>
        <w:rPr>
          <w:rFonts w:ascii="Times New Roman" w:eastAsia="Times New Roman" w:hAnsi="Times New Roman" w:cs="Times New Roman"/>
          <w:i/>
        </w:rPr>
      </w:pPr>
    </w:p>
    <w:p w14:paraId="6E921F72" w14:textId="77777777" w:rsidR="000B16A7" w:rsidRDefault="000B16A7">
      <w:pPr>
        <w:rPr>
          <w:rFonts w:ascii="Times New Roman" w:eastAsia="Times New Roman" w:hAnsi="Times New Roman" w:cs="Times New Roman"/>
          <w:i/>
        </w:rPr>
      </w:pPr>
    </w:p>
    <w:p w14:paraId="41697135" w14:textId="52E677E3" w:rsidR="002778DF" w:rsidRPr="00DD4CD9" w:rsidRDefault="007D06E4">
      <w:pPr>
        <w:rPr>
          <w:rFonts w:ascii="Times New Roman" w:eastAsia="Times New Roman" w:hAnsi="Times New Roman" w:cs="Times New Roman"/>
          <w:i/>
          <w:iCs/>
          <w:sz w:val="24"/>
          <w:szCs w:val="24"/>
        </w:rPr>
      </w:pPr>
      <w:r w:rsidRPr="00DD4CD9">
        <w:rPr>
          <w:rFonts w:ascii="Times New Roman" w:eastAsia="Times New Roman" w:hAnsi="Times New Roman" w:cs="Times New Roman"/>
          <w:i/>
          <w:iCs/>
          <w:sz w:val="24"/>
          <w:szCs w:val="24"/>
        </w:rPr>
        <w:t>Conduttrici</w:t>
      </w:r>
    </w:p>
    <w:p w14:paraId="41697136" w14:textId="77777777" w:rsidR="002778DF" w:rsidRPr="00DD4CD9" w:rsidRDefault="007D06E4">
      <w:pPr>
        <w:rPr>
          <w:rFonts w:ascii="Times New Roman" w:eastAsia="Times New Roman" w:hAnsi="Times New Roman" w:cs="Times New Roman"/>
          <w:sz w:val="24"/>
          <w:szCs w:val="24"/>
        </w:rPr>
      </w:pPr>
      <w:r w:rsidRPr="00DD4CD9">
        <w:rPr>
          <w:rFonts w:ascii="Times New Roman" w:eastAsia="Times New Roman" w:hAnsi="Times New Roman" w:cs="Times New Roman"/>
          <w:sz w:val="24"/>
          <w:szCs w:val="24"/>
        </w:rPr>
        <w:t xml:space="preserve">Dott.ssa Maria Sole Vittadini e Dott.ssa Giulia Taddei, L’Albero della Vita Onlus </w:t>
      </w:r>
    </w:p>
    <w:p w14:paraId="41697137" w14:textId="77777777" w:rsidR="002778DF" w:rsidRPr="00DD4CD9" w:rsidRDefault="002778DF">
      <w:pPr>
        <w:rPr>
          <w:rFonts w:ascii="Times New Roman" w:eastAsia="Times New Roman" w:hAnsi="Times New Roman" w:cs="Times New Roman"/>
          <w:sz w:val="24"/>
          <w:szCs w:val="24"/>
        </w:rPr>
      </w:pPr>
    </w:p>
    <w:p w14:paraId="41697138" w14:textId="659B4912" w:rsidR="002778DF" w:rsidRPr="00DD4CD9" w:rsidRDefault="007D06E4">
      <w:pPr>
        <w:rPr>
          <w:rFonts w:ascii="Times New Roman" w:eastAsia="Times New Roman" w:hAnsi="Times New Roman" w:cs="Times New Roman"/>
          <w:i/>
          <w:iCs/>
          <w:sz w:val="24"/>
          <w:szCs w:val="24"/>
        </w:rPr>
      </w:pPr>
      <w:r w:rsidRPr="00DD4CD9">
        <w:rPr>
          <w:rFonts w:ascii="Times New Roman" w:eastAsia="Times New Roman" w:hAnsi="Times New Roman" w:cs="Times New Roman"/>
          <w:i/>
          <w:iCs/>
          <w:sz w:val="24"/>
          <w:szCs w:val="24"/>
        </w:rPr>
        <w:t>Partecipant</w:t>
      </w:r>
      <w:r w:rsidR="00DD4CD9">
        <w:rPr>
          <w:rFonts w:ascii="Times New Roman" w:eastAsia="Times New Roman" w:hAnsi="Times New Roman" w:cs="Times New Roman"/>
          <w:i/>
          <w:iCs/>
          <w:sz w:val="24"/>
          <w:szCs w:val="24"/>
        </w:rPr>
        <w:t>i</w:t>
      </w:r>
    </w:p>
    <w:p w14:paraId="41697139" w14:textId="22A11207" w:rsidR="002778DF" w:rsidRPr="00DD4CD9" w:rsidRDefault="00AA11D1">
      <w:pPr>
        <w:rPr>
          <w:rFonts w:ascii="Times New Roman" w:eastAsia="Times New Roman" w:hAnsi="Times New Roman" w:cs="Times New Roman"/>
          <w:iCs/>
          <w:sz w:val="24"/>
          <w:szCs w:val="24"/>
        </w:rPr>
      </w:pPr>
      <w:r w:rsidRPr="00DD4CD9">
        <w:rPr>
          <w:rFonts w:ascii="Times New Roman" w:eastAsia="Times New Roman" w:hAnsi="Times New Roman" w:cs="Times New Roman"/>
          <w:iCs/>
          <w:sz w:val="24"/>
          <w:szCs w:val="24"/>
        </w:rPr>
        <w:t xml:space="preserve">Chiara </w:t>
      </w:r>
      <w:r w:rsidR="007D06E4" w:rsidRPr="00DD4CD9">
        <w:rPr>
          <w:rFonts w:ascii="Times New Roman" w:eastAsia="Times New Roman" w:hAnsi="Times New Roman" w:cs="Times New Roman"/>
          <w:iCs/>
          <w:sz w:val="24"/>
          <w:szCs w:val="24"/>
        </w:rPr>
        <w:t>Calaminici</w:t>
      </w:r>
    </w:p>
    <w:p w14:paraId="4169713A" w14:textId="6333D42F" w:rsidR="002778DF" w:rsidRPr="00DD4CD9" w:rsidRDefault="00AA11D1">
      <w:pPr>
        <w:rPr>
          <w:rFonts w:ascii="Times New Roman" w:eastAsia="Times New Roman" w:hAnsi="Times New Roman" w:cs="Times New Roman"/>
          <w:iCs/>
          <w:sz w:val="24"/>
          <w:szCs w:val="24"/>
        </w:rPr>
      </w:pPr>
      <w:r w:rsidRPr="00DD4CD9">
        <w:rPr>
          <w:rFonts w:ascii="Times New Roman" w:eastAsia="Times New Roman" w:hAnsi="Times New Roman" w:cs="Times New Roman"/>
          <w:iCs/>
          <w:sz w:val="24"/>
          <w:szCs w:val="24"/>
        </w:rPr>
        <w:t xml:space="preserve">Maila </w:t>
      </w:r>
      <w:r w:rsidR="007D06E4" w:rsidRPr="00DD4CD9">
        <w:rPr>
          <w:rFonts w:ascii="Times New Roman" w:eastAsia="Times New Roman" w:hAnsi="Times New Roman" w:cs="Times New Roman"/>
          <w:iCs/>
          <w:sz w:val="24"/>
          <w:szCs w:val="24"/>
        </w:rPr>
        <w:t>Celotto</w:t>
      </w:r>
    </w:p>
    <w:p w14:paraId="4169713B" w14:textId="56A56A44" w:rsidR="002778DF" w:rsidRPr="00DD4CD9" w:rsidRDefault="00AA11D1">
      <w:pPr>
        <w:rPr>
          <w:rFonts w:ascii="Times New Roman" w:eastAsia="Times New Roman" w:hAnsi="Times New Roman" w:cs="Times New Roman"/>
          <w:iCs/>
          <w:sz w:val="24"/>
          <w:szCs w:val="24"/>
        </w:rPr>
      </w:pPr>
      <w:r w:rsidRPr="00DD4CD9">
        <w:rPr>
          <w:rFonts w:ascii="Times New Roman" w:eastAsia="Times New Roman" w:hAnsi="Times New Roman" w:cs="Times New Roman"/>
          <w:iCs/>
          <w:sz w:val="24"/>
          <w:szCs w:val="24"/>
        </w:rPr>
        <w:t xml:space="preserve">Alice </w:t>
      </w:r>
      <w:r w:rsidR="007D06E4" w:rsidRPr="00DD4CD9">
        <w:rPr>
          <w:rFonts w:ascii="Times New Roman" w:eastAsia="Times New Roman" w:hAnsi="Times New Roman" w:cs="Times New Roman"/>
          <w:iCs/>
          <w:sz w:val="24"/>
          <w:szCs w:val="24"/>
        </w:rPr>
        <w:t>Galli</w:t>
      </w:r>
    </w:p>
    <w:p w14:paraId="4169713C" w14:textId="056FADB5" w:rsidR="002778DF" w:rsidRPr="00DD4CD9" w:rsidRDefault="00AA11D1">
      <w:pPr>
        <w:rPr>
          <w:rFonts w:ascii="Times New Roman" w:eastAsia="Times New Roman" w:hAnsi="Times New Roman" w:cs="Times New Roman"/>
          <w:iCs/>
          <w:sz w:val="24"/>
          <w:szCs w:val="24"/>
        </w:rPr>
      </w:pPr>
      <w:r w:rsidRPr="00DD4CD9">
        <w:rPr>
          <w:rFonts w:ascii="Times New Roman" w:eastAsia="Times New Roman" w:hAnsi="Times New Roman" w:cs="Times New Roman"/>
          <w:iCs/>
          <w:sz w:val="24"/>
          <w:szCs w:val="24"/>
        </w:rPr>
        <w:t xml:space="preserve">Giulia </w:t>
      </w:r>
      <w:r w:rsidR="007D06E4" w:rsidRPr="00DD4CD9">
        <w:rPr>
          <w:rFonts w:ascii="Times New Roman" w:eastAsia="Times New Roman" w:hAnsi="Times New Roman" w:cs="Times New Roman"/>
          <w:iCs/>
          <w:sz w:val="24"/>
          <w:szCs w:val="24"/>
        </w:rPr>
        <w:t>Gambaro</w:t>
      </w:r>
    </w:p>
    <w:p w14:paraId="4169713D" w14:textId="42F93183" w:rsidR="002778DF" w:rsidRPr="00DD4CD9" w:rsidRDefault="00AA11D1">
      <w:pPr>
        <w:rPr>
          <w:rFonts w:ascii="Times New Roman" w:eastAsia="Times New Roman" w:hAnsi="Times New Roman" w:cs="Times New Roman"/>
          <w:iCs/>
          <w:sz w:val="24"/>
          <w:szCs w:val="24"/>
        </w:rPr>
      </w:pPr>
      <w:r w:rsidRPr="00DD4CD9">
        <w:rPr>
          <w:rFonts w:ascii="Times New Roman" w:eastAsia="Times New Roman" w:hAnsi="Times New Roman" w:cs="Times New Roman"/>
          <w:iCs/>
          <w:sz w:val="24"/>
          <w:szCs w:val="24"/>
        </w:rPr>
        <w:t xml:space="preserve">Erika </w:t>
      </w:r>
      <w:r w:rsidR="007D06E4" w:rsidRPr="00DD4CD9">
        <w:rPr>
          <w:rFonts w:ascii="Times New Roman" w:eastAsia="Times New Roman" w:hAnsi="Times New Roman" w:cs="Times New Roman"/>
          <w:iCs/>
          <w:sz w:val="24"/>
          <w:szCs w:val="24"/>
        </w:rPr>
        <w:t>Palumbo</w:t>
      </w:r>
    </w:p>
    <w:p w14:paraId="4169713E" w14:textId="7D8BB320" w:rsidR="002778DF" w:rsidRPr="00DD4CD9" w:rsidRDefault="00AA11D1">
      <w:pPr>
        <w:rPr>
          <w:rFonts w:ascii="Times New Roman" w:eastAsia="Times New Roman" w:hAnsi="Times New Roman" w:cs="Times New Roman"/>
          <w:iCs/>
          <w:sz w:val="24"/>
          <w:szCs w:val="24"/>
        </w:rPr>
      </w:pPr>
      <w:r w:rsidRPr="00DD4CD9">
        <w:rPr>
          <w:rFonts w:ascii="Times New Roman" w:eastAsia="Times New Roman" w:hAnsi="Times New Roman" w:cs="Times New Roman"/>
          <w:iCs/>
          <w:sz w:val="24"/>
          <w:szCs w:val="24"/>
        </w:rPr>
        <w:t xml:space="preserve">Nora </w:t>
      </w:r>
      <w:r w:rsidR="007D06E4" w:rsidRPr="00DD4CD9">
        <w:rPr>
          <w:rFonts w:ascii="Times New Roman" w:eastAsia="Times New Roman" w:hAnsi="Times New Roman" w:cs="Times New Roman"/>
          <w:iCs/>
          <w:sz w:val="24"/>
          <w:szCs w:val="24"/>
        </w:rPr>
        <w:t>Semki</w:t>
      </w:r>
    </w:p>
    <w:p w14:paraId="4169713F" w14:textId="724189F0" w:rsidR="002778DF" w:rsidRPr="00DD4CD9" w:rsidRDefault="00AA11D1">
      <w:pPr>
        <w:rPr>
          <w:rFonts w:ascii="Times New Roman" w:eastAsia="Times New Roman" w:hAnsi="Times New Roman" w:cs="Times New Roman"/>
          <w:iCs/>
          <w:sz w:val="24"/>
          <w:szCs w:val="24"/>
        </w:rPr>
      </w:pPr>
      <w:r w:rsidRPr="00DD4CD9">
        <w:rPr>
          <w:rFonts w:ascii="Times New Roman" w:eastAsia="Times New Roman" w:hAnsi="Times New Roman" w:cs="Times New Roman"/>
          <w:iCs/>
          <w:sz w:val="24"/>
          <w:szCs w:val="24"/>
        </w:rPr>
        <w:t xml:space="preserve">Elisa Delia </w:t>
      </w:r>
      <w:r w:rsidR="007D06E4" w:rsidRPr="00DD4CD9">
        <w:rPr>
          <w:rFonts w:ascii="Times New Roman" w:eastAsia="Times New Roman" w:hAnsi="Times New Roman" w:cs="Times New Roman"/>
          <w:iCs/>
          <w:sz w:val="24"/>
          <w:szCs w:val="24"/>
        </w:rPr>
        <w:t>Tentori</w:t>
      </w:r>
    </w:p>
    <w:p w14:paraId="41697140" w14:textId="41232A07" w:rsidR="002778DF" w:rsidRDefault="00AA11D1">
      <w:pPr>
        <w:rPr>
          <w:rFonts w:ascii="Times New Roman" w:eastAsia="Times New Roman" w:hAnsi="Times New Roman" w:cs="Times New Roman"/>
          <w:sz w:val="24"/>
          <w:szCs w:val="24"/>
        </w:rPr>
      </w:pPr>
      <w:r w:rsidRPr="00DD4CD9">
        <w:rPr>
          <w:rFonts w:ascii="Times New Roman" w:eastAsia="Times New Roman" w:hAnsi="Times New Roman" w:cs="Times New Roman"/>
          <w:iCs/>
          <w:sz w:val="24"/>
          <w:szCs w:val="24"/>
        </w:rPr>
        <w:t xml:space="preserve">Valentina Rita </w:t>
      </w:r>
      <w:r w:rsidR="007D06E4" w:rsidRPr="00DD4CD9">
        <w:rPr>
          <w:rFonts w:ascii="Times New Roman" w:eastAsia="Times New Roman" w:hAnsi="Times New Roman" w:cs="Times New Roman"/>
          <w:iCs/>
          <w:sz w:val="24"/>
          <w:szCs w:val="24"/>
        </w:rPr>
        <w:t>Vertullo</w:t>
      </w:r>
      <w:r w:rsidR="007D06E4">
        <w:br w:type="page"/>
      </w:r>
    </w:p>
    <w:p w14:paraId="41697141"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Siamo state accolte in una bellissima sala all’interno dell’edificio che ospita gli alloggi per l’autonomia mamma-bambino della Fondazione “L’albero della Vita”.</w:t>
      </w:r>
    </w:p>
    <w:p w14:paraId="41697142"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Ci hanno dato il benvenuto la responsabile degli alloggi per l’autonomia la dott.ssa Rita Messina, la coordinatrice della Comunità per minori 0-6 la dott.ssa Maria Sole Vittadini e la coordinatrice degli alloggi per l’autonomia la dott.ssa Giulia Taddei.</w:t>
      </w:r>
    </w:p>
    <w:p w14:paraId="41697143" w14:textId="3EF68BDF"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Dopo una breve introduzione riguardo </w:t>
      </w:r>
      <w:r w:rsidR="0090538E">
        <w:rPr>
          <w:rFonts w:ascii="Times New Roman" w:eastAsia="Times New Roman" w:hAnsi="Times New Roman" w:cs="Times New Roman"/>
          <w:sz w:val="24"/>
          <w:szCs w:val="24"/>
        </w:rPr>
        <w:t>al</w:t>
      </w:r>
      <w:r>
        <w:rPr>
          <w:rFonts w:ascii="Times New Roman" w:eastAsia="Times New Roman" w:hAnsi="Times New Roman" w:cs="Times New Roman"/>
          <w:sz w:val="24"/>
          <w:szCs w:val="24"/>
        </w:rPr>
        <w:t>la Fondazione e il servizio in cui ci trovavamo, ci siamo brevemente presentate e siamo entrate nel vivo del Workshop.</w:t>
      </w:r>
    </w:p>
    <w:p w14:paraId="41697144" w14:textId="77777777" w:rsidR="002778DF" w:rsidRDefault="002778DF">
      <w:pPr>
        <w:spacing w:line="360" w:lineRule="auto"/>
        <w:jc w:val="both"/>
        <w:rPr>
          <w:rFonts w:ascii="Times New Roman" w:eastAsia="Times New Roman" w:hAnsi="Times New Roman" w:cs="Times New Roman"/>
          <w:b/>
          <w:sz w:val="24"/>
          <w:szCs w:val="24"/>
        </w:rPr>
      </w:pPr>
    </w:p>
    <w:p w14:paraId="41697145" w14:textId="77777777" w:rsidR="002778DF" w:rsidRDefault="007D06E4">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PRINCIPALI CONTENUTI</w:t>
      </w:r>
    </w:p>
    <w:p w14:paraId="41697146" w14:textId="538B1CE1" w:rsidR="002778DF" w:rsidRDefault="00567BDE">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 p</w:t>
      </w:r>
      <w:r w:rsidR="007D06E4">
        <w:rPr>
          <w:rFonts w:ascii="Times New Roman" w:eastAsia="Times New Roman" w:hAnsi="Times New Roman" w:cs="Times New Roman"/>
          <w:sz w:val="24"/>
          <w:szCs w:val="24"/>
        </w:rPr>
        <w:t xml:space="preserve">rincipali contenuti di questo workshop hanno riguardato l’osservazione e l’auto-osservazione all’interno delle dinamiche di </w:t>
      </w:r>
      <w:r>
        <w:rPr>
          <w:rFonts w:ascii="Times New Roman" w:eastAsia="Times New Roman" w:hAnsi="Times New Roman" w:cs="Times New Roman"/>
          <w:sz w:val="24"/>
          <w:szCs w:val="24"/>
        </w:rPr>
        <w:t>é</w:t>
      </w:r>
      <w:r w:rsidR="007D06E4">
        <w:rPr>
          <w:rFonts w:ascii="Times New Roman" w:eastAsia="Times New Roman" w:hAnsi="Times New Roman" w:cs="Times New Roman"/>
          <w:sz w:val="24"/>
          <w:szCs w:val="24"/>
        </w:rPr>
        <w:t xml:space="preserve">quipe. </w:t>
      </w:r>
    </w:p>
    <w:p w14:paraId="41697147"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primo luogo, come oggetto principale di indagine abbiamo riflettuto sulle diverse modalità di osservazione, e successivamente abbiamo affrontato i concetti di dati e informazione, di giudizio e pregiudizio messi in campo durante l’osservazione. Inoltre, si è parlato di auto-osservazione e di attenzione allo stato emozionale di ogni persona nell’équipe come elementi utili a influenzare in modo positivo l’osservazione. Infine, sono stati proposti alcuni strumenti pratici da utilizzare per condurre un’osservazione.</w:t>
      </w:r>
    </w:p>
    <w:p w14:paraId="41697148"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relazione al concetto di osservazione, il lavoro svolto ha direzionato il focus del workshop sull’analisi di cosa comporta e come essa si sviluppa in ambito educativo. Nel lavoro educativo, infatti, osservare è essenziale, configurandosi a tutti gli effetti come uno strumento professionale.</w:t>
      </w:r>
    </w:p>
    <w:p w14:paraId="41697149" w14:textId="3CF8EC27" w:rsidR="002778DF" w:rsidRDefault="000B16A7">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È</w:t>
      </w:r>
      <w:r w:rsidR="007D06E4">
        <w:rPr>
          <w:rFonts w:ascii="Times New Roman" w:eastAsia="Times New Roman" w:hAnsi="Times New Roman" w:cs="Times New Roman"/>
          <w:sz w:val="24"/>
          <w:szCs w:val="24"/>
        </w:rPr>
        <w:t xml:space="preserve"> bene ricordare che osservare è un’azione ben distinta dall’interpretare. Infatti, le conduttrici ci hanno fatto riflettere sulla differenza tra dato e informazione. Se il primo rappresenta un elemento neutro, la seconda è la risultante di un’attribuzione di significato. È sicuramente impossibile un'osservazione completamente oggettiva, ma l’intento è quello di renderla il più oggettiva possibile. Diventa essenziale in tal senso non dare nulla per scontato e ampliare il proprio sguardo, tenendo costantemente in considerazione il contesto.</w:t>
      </w:r>
    </w:p>
    <w:p w14:paraId="4169714A"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Osservare, in tal senso significa riportare nel modo più fedele possibile ciò che è stato osservato e non ciò che noi pensiamo in merito (cercando, per quanto possibile, di evitare pregiudizi e preconcetti o quanto meno di consapevolizzare tali pattern). </w:t>
      </w:r>
    </w:p>
    <w:p w14:paraId="4169714B"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Così l’osservazione consapevole e orientata è uno strumento per riflettere sul proprio compito educativo, un importante dispositivo di cui l’educatore dispone per imprimere intenzionalità e razionalità al proprio agire. </w:t>
      </w:r>
    </w:p>
    <w:p w14:paraId="4169714C" w14:textId="6E113581"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L’osservazione è prima di tutto auto-osservazione, essendo parte del contesto e del processo, che consente di cogliere </w:t>
      </w:r>
      <w:r w:rsidR="000B16A7">
        <w:rPr>
          <w:rFonts w:ascii="Times New Roman" w:eastAsia="Times New Roman" w:hAnsi="Times New Roman" w:cs="Times New Roman"/>
          <w:sz w:val="24"/>
          <w:szCs w:val="24"/>
        </w:rPr>
        <w:t>sé</w:t>
      </w:r>
      <w:r>
        <w:rPr>
          <w:rFonts w:ascii="Times New Roman" w:eastAsia="Times New Roman" w:hAnsi="Times New Roman" w:cs="Times New Roman"/>
          <w:sz w:val="24"/>
          <w:szCs w:val="24"/>
        </w:rPr>
        <w:t xml:space="preserve"> stessi all’interno dell’atto educativo evitando che le proprie premesse influenzino la situazione.  </w:t>
      </w:r>
    </w:p>
    <w:p w14:paraId="4169714D" w14:textId="3CB4BFC5"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passaggio da teoria a pratica, grazie alle esercitazioni di gruppo, abbiamo potuto sperimentare come l’osservazione e l’auto-osservazione possano essere degli strumenti essenziali non solo in relazione all’utenza ma trasferibili in riferimento all’équipe di lavoro, con uno sguardo di secondo livello. Abbiamo riflettuto sui diversi ruoli all’interno di un’</w:t>
      </w:r>
      <w:r w:rsidR="00AF5440">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 di lavoro. In particolare</w:t>
      </w:r>
      <w:r w:rsidR="000B16A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alla coordinatrice è chiesto di prendersi cura del gruppo con cui lavora, ma «la cura è anche “cura di sé”, interrogazione sul proprio lavoro, su sé stessi, sulle proprie aspettative»</w:t>
      </w:r>
      <w:r>
        <w:rPr>
          <w:rFonts w:ascii="Times New Roman" w:eastAsia="Times New Roman" w:hAnsi="Times New Roman" w:cs="Times New Roman"/>
          <w:sz w:val="24"/>
          <w:szCs w:val="24"/>
          <w:vertAlign w:val="superscript"/>
        </w:rPr>
        <w:footnoteReference w:id="1"/>
      </w:r>
      <w:r>
        <w:rPr>
          <w:rFonts w:ascii="Times New Roman" w:eastAsia="Times New Roman" w:hAnsi="Times New Roman" w:cs="Times New Roman"/>
          <w:sz w:val="24"/>
          <w:szCs w:val="24"/>
        </w:rPr>
        <w:t>.</w:t>
      </w:r>
    </w:p>
    <w:p w14:paraId="4169714E" w14:textId="3BF2D0A1"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Infine, con lo scopo di esercitare un’osservazione pedagogicamente orientata è sicuramente utile l’utilizzo di strumenti adatti. Durante il workshop abbiamo visionato delle griglie osservative che pongono l’attenzione su dimensioni come: il come, il dove, il quando e il perché. </w:t>
      </w:r>
      <w:r w:rsidR="002F444F">
        <w:rPr>
          <w:rFonts w:ascii="Times New Roman" w:eastAsia="Times New Roman" w:hAnsi="Times New Roman" w:cs="Times New Roman"/>
          <w:sz w:val="24"/>
          <w:szCs w:val="24"/>
        </w:rPr>
        <w:t>Q</w:t>
      </w:r>
      <w:r>
        <w:rPr>
          <w:rFonts w:ascii="Times New Roman" w:eastAsia="Times New Roman" w:hAnsi="Times New Roman" w:cs="Times New Roman"/>
          <w:sz w:val="24"/>
          <w:szCs w:val="24"/>
        </w:rPr>
        <w:t>ueste rappresentano domande utili ad analizzare qualsiasi situazione/contesto educativo, in particolare, nel nostro caso ad osservare un’équipe al lavoro, mantenendo uno sguardo oggettivo e pedagogicamente orientato.</w:t>
      </w:r>
    </w:p>
    <w:p w14:paraId="4169714F" w14:textId="77777777" w:rsidR="002778DF" w:rsidRDefault="002778DF">
      <w:pPr>
        <w:spacing w:line="360" w:lineRule="auto"/>
        <w:jc w:val="both"/>
        <w:rPr>
          <w:rFonts w:ascii="Times New Roman" w:eastAsia="Times New Roman" w:hAnsi="Times New Roman" w:cs="Times New Roman"/>
          <w:sz w:val="24"/>
          <w:szCs w:val="24"/>
        </w:rPr>
      </w:pPr>
    </w:p>
    <w:p w14:paraId="41697150"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METODOLOGIE</w:t>
      </w:r>
    </w:p>
    <w:p w14:paraId="41697151" w14:textId="22DC1E20"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Dopo un breve momento di presentazione del tema principale del workshop</w:t>
      </w:r>
      <w:r w:rsidR="002F444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come </w:t>
      </w:r>
      <w:r>
        <w:rPr>
          <w:rFonts w:ascii="Times New Roman" w:eastAsia="Times New Roman" w:hAnsi="Times New Roman" w:cs="Times New Roman"/>
          <w:color w:val="212529"/>
          <w:sz w:val="24"/>
          <w:szCs w:val="24"/>
        </w:rPr>
        <w:t>osservare le dinamiche d’équipe e sviluppare uno strumento di osservazione</w:t>
      </w:r>
      <w:r w:rsidR="002F444F">
        <w:rPr>
          <w:rFonts w:ascii="Times New Roman" w:eastAsia="Times New Roman" w:hAnsi="Times New Roman" w:cs="Times New Roman"/>
          <w:color w:val="212529"/>
          <w:sz w:val="24"/>
          <w:szCs w:val="24"/>
        </w:rPr>
        <w:t>)</w:t>
      </w:r>
      <w:r>
        <w:rPr>
          <w:rFonts w:ascii="Times New Roman" w:eastAsia="Times New Roman" w:hAnsi="Times New Roman" w:cs="Times New Roman"/>
          <w:color w:val="212529"/>
          <w:sz w:val="24"/>
          <w:szCs w:val="24"/>
        </w:rPr>
        <w:t xml:space="preserve"> la dott.</w:t>
      </w:r>
      <w:r>
        <w:rPr>
          <w:rFonts w:ascii="Times New Roman" w:eastAsia="Times New Roman" w:hAnsi="Times New Roman" w:cs="Times New Roman"/>
          <w:sz w:val="24"/>
          <w:szCs w:val="24"/>
        </w:rPr>
        <w:t>ssa Maria Sole Vittadini e la dott.ssa Giulia Taddei ci hanno proposto la visione del video: “Monkey business illusion”. L'obiettivo del video era incanalare l’attenzione dello spettatore verso un solo aspetto, portandolo a tralasciare gli altri presenti sulla scena.</w:t>
      </w:r>
    </w:p>
    <w:p w14:paraId="41697152" w14:textId="51B74922"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seguito</w:t>
      </w:r>
      <w:r w:rsidR="000B16A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si è aperto un dibattito riguardo </w:t>
      </w:r>
      <w:r w:rsidR="002F444F">
        <w:rPr>
          <w:rFonts w:ascii="Times New Roman" w:eastAsia="Times New Roman" w:hAnsi="Times New Roman" w:cs="Times New Roman"/>
          <w:sz w:val="24"/>
          <w:szCs w:val="24"/>
        </w:rPr>
        <w:t xml:space="preserve">a </w:t>
      </w:r>
      <w:r>
        <w:rPr>
          <w:rFonts w:ascii="Times New Roman" w:eastAsia="Times New Roman" w:hAnsi="Times New Roman" w:cs="Times New Roman"/>
          <w:sz w:val="24"/>
          <w:szCs w:val="24"/>
        </w:rPr>
        <w:t xml:space="preserve">ciò che aveva colpito la nostra attenzione e quindi ciò che avevamo osservato. </w:t>
      </w:r>
    </w:p>
    <w:p w14:paraId="41697153" w14:textId="0ADD8475"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Tale attivazione ha dato il via a</w:t>
      </w:r>
      <w:r w:rsidR="002F444F">
        <w:rPr>
          <w:rFonts w:ascii="Times New Roman" w:eastAsia="Times New Roman" w:hAnsi="Times New Roman" w:cs="Times New Roman"/>
          <w:sz w:val="24"/>
          <w:szCs w:val="24"/>
        </w:rPr>
        <w:t xml:space="preserve">lla presentazione di </w:t>
      </w:r>
      <w:r>
        <w:rPr>
          <w:rFonts w:ascii="Times New Roman" w:eastAsia="Times New Roman" w:hAnsi="Times New Roman" w:cs="Times New Roman"/>
          <w:sz w:val="24"/>
          <w:szCs w:val="24"/>
        </w:rPr>
        <w:t xml:space="preserve">alcuni concetti teorici legati all’osservazione. </w:t>
      </w:r>
    </w:p>
    <w:p w14:paraId="41697154"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mattinata non ha previsto solo una lezione frontale, ma anche dei momenti di condivisione, di partecipazione e messa in gioco tramite dei </w:t>
      </w:r>
      <w:r w:rsidRPr="000B16A7">
        <w:rPr>
          <w:rFonts w:ascii="Times New Roman" w:eastAsia="Times New Roman" w:hAnsi="Times New Roman" w:cs="Times New Roman"/>
          <w:i/>
          <w:iCs/>
          <w:sz w:val="24"/>
          <w:szCs w:val="24"/>
        </w:rPr>
        <w:t>role play</w:t>
      </w:r>
      <w:r>
        <w:rPr>
          <w:rFonts w:ascii="Times New Roman" w:eastAsia="Times New Roman" w:hAnsi="Times New Roman" w:cs="Times New Roman"/>
          <w:sz w:val="24"/>
          <w:szCs w:val="24"/>
        </w:rPr>
        <w:t>.</w:t>
      </w:r>
    </w:p>
    <w:p w14:paraId="41697155" w14:textId="7F117035"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Il primo </w:t>
      </w:r>
      <w:r w:rsidRPr="007D06E4">
        <w:rPr>
          <w:rFonts w:ascii="Times New Roman" w:eastAsia="Times New Roman" w:hAnsi="Times New Roman" w:cs="Times New Roman"/>
          <w:i/>
          <w:iCs/>
          <w:sz w:val="24"/>
          <w:szCs w:val="24"/>
        </w:rPr>
        <w:t>role play</w:t>
      </w:r>
      <w:r>
        <w:rPr>
          <w:rFonts w:ascii="Times New Roman" w:eastAsia="Times New Roman" w:hAnsi="Times New Roman" w:cs="Times New Roman"/>
          <w:sz w:val="24"/>
          <w:szCs w:val="24"/>
        </w:rPr>
        <w:t xml:space="preserve"> ha previsto diversi ruoli: quattro educatrici, una coordinatrice e tre osservatrici esterne. Ogni partecipante aveva delle caratteristiche precise da mettere in scena in una ipotetica riunione di </w:t>
      </w:r>
      <w:r w:rsidR="002F444F">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w:t>
      </w:r>
    </w:p>
    <w:p w14:paraId="41697156" w14:textId="6D05004A"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Una volta terminat</w:t>
      </w:r>
      <w:r w:rsidR="002F444F">
        <w:rPr>
          <w:rFonts w:ascii="Times New Roman" w:eastAsia="Times New Roman" w:hAnsi="Times New Roman" w:cs="Times New Roman"/>
          <w:sz w:val="24"/>
          <w:szCs w:val="24"/>
        </w:rPr>
        <w:t>a la simulazione</w:t>
      </w:r>
      <w:r>
        <w:rPr>
          <w:rFonts w:ascii="Times New Roman" w:eastAsia="Times New Roman" w:hAnsi="Times New Roman" w:cs="Times New Roman"/>
          <w:sz w:val="24"/>
          <w:szCs w:val="24"/>
        </w:rPr>
        <w:t>, si è aperta una riflessione condivisa rispetto ai comportamenti messi in atto; alle sensazioni provate e alle osservazioni raccolte.</w:t>
      </w:r>
    </w:p>
    <w:p w14:paraId="41697157" w14:textId="4E365432"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Ciò ha permesso di </w:t>
      </w:r>
      <w:r w:rsidR="002F444F">
        <w:rPr>
          <w:rFonts w:ascii="Times New Roman" w:eastAsia="Times New Roman" w:hAnsi="Times New Roman" w:cs="Times New Roman"/>
          <w:sz w:val="24"/>
          <w:szCs w:val="24"/>
        </w:rPr>
        <w:t>integrare</w:t>
      </w:r>
      <w:r>
        <w:rPr>
          <w:rFonts w:ascii="Times New Roman" w:eastAsia="Times New Roman" w:hAnsi="Times New Roman" w:cs="Times New Roman"/>
          <w:sz w:val="24"/>
          <w:szCs w:val="24"/>
        </w:rPr>
        <w:t xml:space="preserve"> </w:t>
      </w:r>
      <w:r w:rsidR="002F444F">
        <w:rPr>
          <w:rFonts w:ascii="Times New Roman" w:eastAsia="Times New Roman" w:hAnsi="Times New Roman" w:cs="Times New Roman"/>
          <w:sz w:val="24"/>
          <w:szCs w:val="24"/>
        </w:rPr>
        <w:t>questa parte</w:t>
      </w:r>
      <w:r>
        <w:rPr>
          <w:rFonts w:ascii="Times New Roman" w:eastAsia="Times New Roman" w:hAnsi="Times New Roman" w:cs="Times New Roman"/>
          <w:sz w:val="24"/>
          <w:szCs w:val="24"/>
        </w:rPr>
        <w:t xml:space="preserve"> teorica, aggiungendo degli esempi di strumenti concreti di osservazione, come le griglie di valutazione.</w:t>
      </w:r>
    </w:p>
    <w:p w14:paraId="41697158" w14:textId="261AD9C3"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seguito, hanno proposto un altro momento di </w:t>
      </w:r>
      <w:r w:rsidRPr="007D06E4">
        <w:rPr>
          <w:rFonts w:ascii="Times New Roman" w:eastAsia="Times New Roman" w:hAnsi="Times New Roman" w:cs="Times New Roman"/>
          <w:i/>
          <w:iCs/>
          <w:sz w:val="24"/>
          <w:szCs w:val="24"/>
        </w:rPr>
        <w:t>role play</w:t>
      </w:r>
      <w:r>
        <w:rPr>
          <w:rFonts w:ascii="Times New Roman" w:eastAsia="Times New Roman" w:hAnsi="Times New Roman" w:cs="Times New Roman"/>
          <w:sz w:val="24"/>
          <w:szCs w:val="24"/>
        </w:rPr>
        <w:t xml:space="preserve"> in cui erano presenti gli stessi ruoli, interpretati da persone differenti rispetto al primo. Inoltre, alla coordinatrice era stata data un’indicazione precisa sul comportamento da tenere nei confronti delle educatrici.</w:t>
      </w:r>
    </w:p>
    <w:p w14:paraId="41697159"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Tale gioco di ruolo è stato riproposto per osservare i nostri comportamenti in seguito ai concetti teorici spiegati, e comprendere gli ipotetici apprendimenti.</w:t>
      </w:r>
    </w:p>
    <w:p w14:paraId="4169715A"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lavoro si è concluso con un ultimo momento di condivisione dei nostri pensieri e percezioni.</w:t>
      </w:r>
    </w:p>
    <w:p w14:paraId="4169715B" w14:textId="77777777" w:rsidR="002778DF" w:rsidRDefault="002778DF">
      <w:pPr>
        <w:spacing w:line="360" w:lineRule="auto"/>
        <w:jc w:val="both"/>
        <w:rPr>
          <w:rFonts w:ascii="Times New Roman" w:eastAsia="Times New Roman" w:hAnsi="Times New Roman" w:cs="Times New Roman"/>
          <w:sz w:val="24"/>
          <w:szCs w:val="24"/>
        </w:rPr>
      </w:pPr>
    </w:p>
    <w:p w14:paraId="4169715C" w14:textId="77777777" w:rsidR="002778DF" w:rsidRDefault="007D06E4">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ASPETTI TEORICI</w:t>
      </w:r>
    </w:p>
    <w:p w14:paraId="4169715D"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L’approccio pedagogico presentato dalle coordinatrici e sul quale si basano le pratiche educative e pedagogiche della Fondazione intera è la Pedagogia del Terzo Millennio (PTM) fondata da Patrizio Paoletti. Questo approccio si fonda su quattro pilastri: osservazione, mediazione, traslazione e normalizzazione.</w:t>
      </w:r>
    </w:p>
    <w:p w14:paraId="4169715E" w14:textId="57A9AE62"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Approccio teorico e contenuti proposti nel workshop, come vedremo in questa parte della relazione, si sono intrecciati e sovrapposti durante la mattinata, </w:t>
      </w:r>
      <w:r w:rsidR="00F475A9">
        <w:rPr>
          <w:rFonts w:ascii="Times New Roman" w:eastAsia="Times New Roman" w:hAnsi="Times New Roman" w:cs="Times New Roman"/>
          <w:sz w:val="24"/>
          <w:szCs w:val="24"/>
        </w:rPr>
        <w:t>perché</w:t>
      </w:r>
      <w:r>
        <w:rPr>
          <w:rFonts w:ascii="Times New Roman" w:eastAsia="Times New Roman" w:hAnsi="Times New Roman" w:cs="Times New Roman"/>
          <w:sz w:val="24"/>
          <w:szCs w:val="24"/>
        </w:rPr>
        <w:t xml:space="preserve"> le conduttrici nell’esporre i contenuti, hanno anche esplicitato le cornici teoriche fondanti la loro personale pratica educativa che guida il lavoro all’interno di tutti i loro servizi, cornici che fondano epistemologicamente i contenuti di questo corso.</w:t>
      </w:r>
    </w:p>
    <w:p w14:paraId="4169715F" w14:textId="2C65441E"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Durante il workshop il focus</w:t>
      </w:r>
      <w:r w:rsidR="00F475A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è stato posto sull’osservazione, concetto che a sua volta è stato declinato in tre categorie: auto-osservazione, osservazione orientata e strumenti di osservazione.</w:t>
      </w:r>
    </w:p>
    <w:p w14:paraId="41697160"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Come riportato sul sito della Fondazione, l’osservazione:</w:t>
      </w:r>
    </w:p>
    <w:p w14:paraId="41697161" w14:textId="77777777" w:rsidR="002778DF" w:rsidRDefault="002778DF">
      <w:pPr>
        <w:spacing w:line="360" w:lineRule="auto"/>
        <w:jc w:val="both"/>
        <w:rPr>
          <w:rFonts w:ascii="Times New Roman" w:eastAsia="Times New Roman" w:hAnsi="Times New Roman" w:cs="Times New Roman"/>
          <w:sz w:val="24"/>
          <w:szCs w:val="24"/>
        </w:rPr>
      </w:pPr>
    </w:p>
    <w:p w14:paraId="41697162" w14:textId="77777777" w:rsidR="002778DF" w:rsidRDefault="007D06E4">
      <w:pPr>
        <w:spacing w:line="360" w:lineRule="auto"/>
        <w:ind w:left="566" w:right="526"/>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Si riferisce alla capacità di acquisire dati su se stessi, gli altri, il mondo, in modo neutro. Per essere applicata, è necessario mettere in atto la doppia abilità di resistere-arrendersi, poiché l’osservazione pedagogica richiede di non modificare in alcun modo ciò che si osserva in se stessi e fuori di sé. Solo dopo un’osservazione sufficiente, sarà possibile agire.</w:t>
      </w:r>
      <w:r>
        <w:rPr>
          <w:rFonts w:ascii="Times New Roman" w:eastAsia="Times New Roman" w:hAnsi="Times New Roman" w:cs="Times New Roman"/>
          <w:sz w:val="20"/>
          <w:szCs w:val="20"/>
          <w:vertAlign w:val="superscript"/>
        </w:rPr>
        <w:footnoteReference w:id="2"/>
      </w:r>
    </w:p>
    <w:p w14:paraId="41697163" w14:textId="77777777" w:rsidR="002778DF" w:rsidRDefault="002778DF">
      <w:pPr>
        <w:spacing w:line="360" w:lineRule="auto"/>
        <w:jc w:val="both"/>
        <w:rPr>
          <w:rFonts w:ascii="Times New Roman" w:eastAsia="Times New Roman" w:hAnsi="Times New Roman" w:cs="Times New Roman"/>
          <w:sz w:val="20"/>
          <w:szCs w:val="20"/>
        </w:rPr>
      </w:pPr>
    </w:p>
    <w:p w14:paraId="41697164" w14:textId="0D1094C3"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All’interno di questo sistema teorico, la prassi educativa prende avvio, prima di tutto, dall’auto-osservazione o auto-consapevolezza, che è il </w:t>
      </w:r>
      <w:r w:rsidR="00FC5F84">
        <w:rPr>
          <w:rFonts w:ascii="Times New Roman" w:eastAsia="Times New Roman" w:hAnsi="Times New Roman" w:cs="Times New Roman"/>
          <w:sz w:val="24"/>
          <w:szCs w:val="24"/>
        </w:rPr>
        <w:t>primo</w:t>
      </w:r>
      <w:r>
        <w:rPr>
          <w:rFonts w:ascii="Times New Roman" w:eastAsia="Times New Roman" w:hAnsi="Times New Roman" w:cs="Times New Roman"/>
          <w:sz w:val="24"/>
          <w:szCs w:val="24"/>
        </w:rPr>
        <w:t xml:space="preserve"> passo verso una </w:t>
      </w:r>
      <w:r w:rsidR="00FC5F84">
        <w:rPr>
          <w:rFonts w:ascii="Times New Roman" w:eastAsia="Times New Roman" w:hAnsi="Times New Roman" w:cs="Times New Roman"/>
          <w:sz w:val="24"/>
          <w:szCs w:val="24"/>
        </w:rPr>
        <w:t>corretta</w:t>
      </w:r>
      <w:r>
        <w:rPr>
          <w:rFonts w:ascii="Times New Roman" w:eastAsia="Times New Roman" w:hAnsi="Times New Roman" w:cs="Times New Roman"/>
          <w:sz w:val="24"/>
          <w:szCs w:val="24"/>
        </w:rPr>
        <w:t xml:space="preserve"> pratica di osservazione pedagogicamente intesa.</w:t>
      </w:r>
    </w:p>
    <w:p w14:paraId="41697165"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Come riportato ancora sul sito di riferimento della Fondazione:</w:t>
      </w:r>
    </w:p>
    <w:p w14:paraId="41697166" w14:textId="77777777" w:rsidR="002778DF" w:rsidRDefault="002778DF">
      <w:pPr>
        <w:spacing w:line="360" w:lineRule="auto"/>
        <w:jc w:val="both"/>
        <w:rPr>
          <w:rFonts w:ascii="Times New Roman" w:eastAsia="Times New Roman" w:hAnsi="Times New Roman" w:cs="Times New Roman"/>
          <w:sz w:val="20"/>
          <w:szCs w:val="20"/>
        </w:rPr>
      </w:pPr>
    </w:p>
    <w:p w14:paraId="41697167" w14:textId="247C37BF" w:rsidR="002778DF" w:rsidRDefault="007D06E4">
      <w:pPr>
        <w:spacing w:line="360" w:lineRule="auto"/>
        <w:ind w:left="566" w:right="526"/>
        <w:jc w:val="both"/>
        <w:rPr>
          <w:rFonts w:ascii="Times New Roman" w:eastAsia="Times New Roman" w:hAnsi="Times New Roman" w:cs="Times New Roman"/>
          <w:sz w:val="20"/>
          <w:szCs w:val="20"/>
        </w:rPr>
      </w:pPr>
      <w:r>
        <w:rPr>
          <w:rFonts w:ascii="Times New Roman" w:eastAsia="Times New Roman" w:hAnsi="Times New Roman" w:cs="Times New Roman"/>
          <w:sz w:val="20"/>
          <w:szCs w:val="20"/>
          <w:highlight w:val="white"/>
        </w:rPr>
        <w:t xml:space="preserve">l’auto-consapevolezza viene intesa come </w:t>
      </w:r>
      <w:hyperlink r:id="rId9">
        <w:r>
          <w:rPr>
            <w:rFonts w:ascii="Times New Roman" w:eastAsia="Times New Roman" w:hAnsi="Times New Roman" w:cs="Times New Roman"/>
            <w:sz w:val="20"/>
            <w:szCs w:val="20"/>
            <w:highlight w:val="white"/>
          </w:rPr>
          <w:t>fulcro di ogni processo auto-educativo ed educativo</w:t>
        </w:r>
      </w:hyperlink>
      <w:r>
        <w:rPr>
          <w:rFonts w:ascii="Times New Roman" w:eastAsia="Times New Roman" w:hAnsi="Times New Roman" w:cs="Times New Roman"/>
          <w:sz w:val="20"/>
          <w:szCs w:val="20"/>
          <w:highlight w:val="white"/>
        </w:rPr>
        <w:t>. Si tratta, infatti, di un approccio globale, metacognitivo, che include gli aspetti cognitivi</w:t>
      </w:r>
      <w:r w:rsidR="00FC5F84">
        <w:rPr>
          <w:rFonts w:ascii="Times New Roman" w:eastAsia="Times New Roman" w:hAnsi="Times New Roman" w:cs="Times New Roman"/>
          <w:sz w:val="20"/>
          <w:szCs w:val="20"/>
          <w:highlight w:val="white"/>
        </w:rPr>
        <w:t xml:space="preserve"> - </w:t>
      </w:r>
      <w:r>
        <w:rPr>
          <w:rFonts w:ascii="Times New Roman" w:eastAsia="Times New Roman" w:hAnsi="Times New Roman" w:cs="Times New Roman"/>
          <w:sz w:val="20"/>
          <w:szCs w:val="20"/>
          <w:highlight w:val="white"/>
        </w:rPr>
        <w:t>dall’addestramento dell’</w:t>
      </w:r>
      <w:hyperlink r:id="rId10">
        <w:r>
          <w:rPr>
            <w:rFonts w:ascii="Times New Roman" w:eastAsia="Times New Roman" w:hAnsi="Times New Roman" w:cs="Times New Roman"/>
            <w:sz w:val="20"/>
            <w:szCs w:val="20"/>
            <w:highlight w:val="white"/>
          </w:rPr>
          <w:t>attenzione</w:t>
        </w:r>
      </w:hyperlink>
      <w:r>
        <w:rPr>
          <w:rFonts w:ascii="Times New Roman" w:eastAsia="Times New Roman" w:hAnsi="Times New Roman" w:cs="Times New Roman"/>
          <w:sz w:val="20"/>
          <w:szCs w:val="20"/>
          <w:highlight w:val="white"/>
        </w:rPr>
        <w:t xml:space="preserve"> all’attesa attiva– quelli emotivi –dalla </w:t>
      </w:r>
      <w:hyperlink r:id="rId11">
        <w:r>
          <w:rPr>
            <w:rFonts w:ascii="Times New Roman" w:eastAsia="Times New Roman" w:hAnsi="Times New Roman" w:cs="Times New Roman"/>
            <w:sz w:val="20"/>
            <w:szCs w:val="20"/>
            <w:highlight w:val="white"/>
          </w:rPr>
          <w:t>motivazione</w:t>
        </w:r>
      </w:hyperlink>
      <w:r>
        <w:rPr>
          <w:rFonts w:ascii="Times New Roman" w:eastAsia="Times New Roman" w:hAnsi="Times New Roman" w:cs="Times New Roman"/>
          <w:sz w:val="20"/>
          <w:szCs w:val="20"/>
          <w:highlight w:val="white"/>
        </w:rPr>
        <w:t xml:space="preserve"> all’</w:t>
      </w:r>
      <w:hyperlink r:id="rId12">
        <w:r>
          <w:rPr>
            <w:rFonts w:ascii="Times New Roman" w:eastAsia="Times New Roman" w:hAnsi="Times New Roman" w:cs="Times New Roman"/>
            <w:sz w:val="20"/>
            <w:szCs w:val="20"/>
            <w:highlight w:val="white"/>
          </w:rPr>
          <w:t>autostima</w:t>
        </w:r>
      </w:hyperlink>
      <w:r>
        <w:rPr>
          <w:rFonts w:ascii="Times New Roman" w:eastAsia="Times New Roman" w:hAnsi="Times New Roman" w:cs="Times New Roman"/>
          <w:sz w:val="20"/>
          <w:szCs w:val="20"/>
          <w:highlight w:val="white"/>
        </w:rPr>
        <w:t>, fino all’</w:t>
      </w:r>
      <w:hyperlink r:id="rId13">
        <w:r>
          <w:rPr>
            <w:rFonts w:ascii="Times New Roman" w:eastAsia="Times New Roman" w:hAnsi="Times New Roman" w:cs="Times New Roman"/>
            <w:sz w:val="20"/>
            <w:szCs w:val="20"/>
            <w:highlight w:val="white"/>
          </w:rPr>
          <w:t>autoefficacia</w:t>
        </w:r>
      </w:hyperlink>
      <w:r>
        <w:rPr>
          <w:rFonts w:ascii="Times New Roman" w:eastAsia="Times New Roman" w:hAnsi="Times New Roman" w:cs="Times New Roman"/>
          <w:sz w:val="20"/>
          <w:szCs w:val="20"/>
          <w:highlight w:val="white"/>
        </w:rPr>
        <w:t>– e corporei –dall’</w:t>
      </w:r>
      <w:hyperlink r:id="rId14">
        <w:r>
          <w:rPr>
            <w:rFonts w:ascii="Times New Roman" w:eastAsia="Times New Roman" w:hAnsi="Times New Roman" w:cs="Times New Roman"/>
            <w:sz w:val="20"/>
            <w:szCs w:val="20"/>
            <w:highlight w:val="white"/>
          </w:rPr>
          <w:t>interocezione</w:t>
        </w:r>
      </w:hyperlink>
      <w:r>
        <w:rPr>
          <w:rFonts w:ascii="Times New Roman" w:eastAsia="Times New Roman" w:hAnsi="Times New Roman" w:cs="Times New Roman"/>
          <w:sz w:val="20"/>
          <w:szCs w:val="20"/>
          <w:highlight w:val="white"/>
        </w:rPr>
        <w:t xml:space="preserve"> (</w:t>
      </w:r>
      <w:r>
        <w:rPr>
          <w:rFonts w:ascii="Times New Roman" w:eastAsia="Times New Roman" w:hAnsi="Times New Roman" w:cs="Times New Roman"/>
          <w:i/>
          <w:sz w:val="20"/>
          <w:szCs w:val="20"/>
          <w:highlight w:val="white"/>
        </w:rPr>
        <w:t xml:space="preserve">ovvero la capacità di </w:t>
      </w:r>
      <w:r w:rsidR="00FC5F84">
        <w:rPr>
          <w:rFonts w:ascii="Times New Roman" w:eastAsia="Times New Roman" w:hAnsi="Times New Roman" w:cs="Times New Roman"/>
          <w:i/>
          <w:sz w:val="20"/>
          <w:szCs w:val="20"/>
          <w:highlight w:val="white"/>
        </w:rPr>
        <w:t>percepire</w:t>
      </w:r>
      <w:r>
        <w:rPr>
          <w:rFonts w:ascii="Times New Roman" w:eastAsia="Times New Roman" w:hAnsi="Times New Roman" w:cs="Times New Roman"/>
          <w:i/>
          <w:sz w:val="20"/>
          <w:szCs w:val="20"/>
          <w:highlight w:val="white"/>
        </w:rPr>
        <w:t xml:space="preserve"> le sensazioni interne del corpo e attivare le risposte adatte, ndr</w:t>
      </w:r>
      <w:r>
        <w:rPr>
          <w:rFonts w:ascii="Times New Roman" w:eastAsia="Times New Roman" w:hAnsi="Times New Roman" w:cs="Times New Roman"/>
          <w:sz w:val="20"/>
          <w:szCs w:val="20"/>
          <w:highlight w:val="white"/>
        </w:rPr>
        <w:t>) al movimento – e le interazioni tra queste componenti fondamentali nel processo di cambiamento.</w:t>
      </w:r>
    </w:p>
    <w:p w14:paraId="41697168" w14:textId="58CFD923" w:rsidR="002778DF" w:rsidRDefault="002778DF">
      <w:pPr>
        <w:spacing w:line="360" w:lineRule="auto"/>
        <w:jc w:val="both"/>
        <w:rPr>
          <w:rFonts w:ascii="Times New Roman" w:eastAsia="Times New Roman" w:hAnsi="Times New Roman" w:cs="Times New Roman"/>
          <w:sz w:val="24"/>
          <w:szCs w:val="24"/>
        </w:rPr>
      </w:pPr>
    </w:p>
    <w:p w14:paraId="41697169" w14:textId="3726A130"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Auto-osservazione, quindi, significa, conoscere meglio i nostri pregiudizi, i nostri sistemi culturali e valoriali individuali che nel nostro tempo di vita si sono strutturati attraverso l’incontro con la propria famiglia, prima di tutto e, successivamente, attraverso il contatto con i sistemi sociali e culturali secondari. Avere conoscenza dei preconcetti ci permette di inserirci in un contesto da osservare in modo più consapevole, informato e responsabile rispetto alle dinamiche di relazione, di azione e di processo da osservare.</w:t>
      </w:r>
    </w:p>
    <w:p w14:paraId="4169716A"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Solo dopo, quindi, aver praticato una buona auto-osservazione, ci si può avviare verso una più corretta pratica di osservazione.</w:t>
      </w:r>
    </w:p>
    <w:p w14:paraId="4169716B" w14:textId="009590E8"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All’interno di un contesto educativo, l’osservazione si definisce “orientata”, ovvero il mio sguardo deve essere guidato da un obiettivo e deve tendere alla raccolta di dati, sempre assumendo la premessa che non è possibile cogliere ogni aspetto di un contesto contemporaneamente, ma solo parti di esso. Proprio qui, risulta evidente l’importanza del lavoro d’</w:t>
      </w:r>
      <w:r w:rsidR="00FC5F84">
        <w:rPr>
          <w:rFonts w:ascii="Times New Roman" w:eastAsia="Times New Roman" w:hAnsi="Times New Roman" w:cs="Times New Roman"/>
          <w:sz w:val="24"/>
          <w:szCs w:val="24"/>
        </w:rPr>
        <w:t>é</w:t>
      </w:r>
      <w:r>
        <w:rPr>
          <w:rFonts w:ascii="Times New Roman" w:eastAsia="Times New Roman" w:hAnsi="Times New Roman" w:cs="Times New Roman"/>
          <w:sz w:val="24"/>
          <w:szCs w:val="24"/>
        </w:rPr>
        <w:t>quipe perché permette una molteplicità di punti di vista e la costruzione di un’osservazione complessa e sistemica.</w:t>
      </w:r>
    </w:p>
    <w:p w14:paraId="4169716C" w14:textId="05D3BA83"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Come già </w:t>
      </w:r>
      <w:r w:rsidR="00FC5F84">
        <w:rPr>
          <w:rFonts w:ascii="Times New Roman" w:eastAsia="Times New Roman" w:hAnsi="Times New Roman" w:cs="Times New Roman"/>
          <w:sz w:val="24"/>
          <w:szCs w:val="24"/>
        </w:rPr>
        <w:t>detto</w:t>
      </w:r>
      <w:r>
        <w:rPr>
          <w:rFonts w:ascii="Times New Roman" w:eastAsia="Times New Roman" w:hAnsi="Times New Roman" w:cs="Times New Roman"/>
          <w:sz w:val="24"/>
          <w:szCs w:val="24"/>
        </w:rPr>
        <w:t xml:space="preserve">, un altro aspetto teorico introdotto è stata la differenza tra dati e informazioni, dove, ripetiamo, il dato è un visto come un elemento di realtà puro e il più possibile neutro; mentre, l’informazione è concepita come un dato avente una connotazione di valore derivante da un giudizio. </w:t>
      </w:r>
    </w:p>
    <w:p w14:paraId="4169716D" w14:textId="5B192A23"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È chiaro che per una buona osservazione orientata si deve cercare di “ripulire” l’informazione per giungere ad avere dati.</w:t>
      </w:r>
    </w:p>
    <w:p w14:paraId="4169716E"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La raccolta dei dati avviene attraverso l’utilizzo di diversi strumenti. Quello a noi proposto e tipico dell’approccio pedagogico della PTM, sono le griglie osservative basate sulla “triade dell’osservazione” e sulla sua quadratura. </w:t>
      </w:r>
    </w:p>
    <w:p w14:paraId="4169716F" w14:textId="3C89379A"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triade è formata da tre domande fondamentali che dovrebbero guidare la nostra osservazione: “Come?” “Dove?” Quando?”. Una quarta domanda (</w:t>
      </w:r>
      <w:r w:rsidR="00FC5F84">
        <w:rPr>
          <w:rFonts w:ascii="Times New Roman" w:eastAsia="Times New Roman" w:hAnsi="Times New Roman" w:cs="Times New Roman"/>
          <w:sz w:val="24"/>
          <w:szCs w:val="24"/>
        </w:rPr>
        <w:t>Perché</w:t>
      </w:r>
      <w:r>
        <w:rPr>
          <w:rFonts w:ascii="Times New Roman" w:eastAsia="Times New Roman" w:hAnsi="Times New Roman" w:cs="Times New Roman"/>
          <w:sz w:val="24"/>
          <w:szCs w:val="24"/>
        </w:rPr>
        <w:t>?) permette di quadrare l’osservazione dandone una possibile interpretazione, anche se quest’ultima non è sempre necessaria. Nella PTM, bisogna favorire sempre una descrizione neutra e il più possibile oggettiva del contesto che possa permettere una comprensione più approfondita dei processi, delle azioni, dei tempi e degli spazi attraverso la raccolta orientata dei dati.</w:t>
      </w:r>
    </w:p>
    <w:p w14:paraId="41697170" w14:textId="7726EF26"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ultimo elemento sia metodologico che teorico è la costruzione del benessere all’interno di un gruppo di lavoro concepito come una fusione e connessione, in ogni persona, di tre piani distinti: quello fisico, quello, mentale e quello relazionale. Avendo come fine quello di generare e mantenere benessere nella propria équipe, con l’obiettivo finale di preservare e presidiare una pratica educativa valida e</w:t>
      </w:r>
      <w:r w:rsidR="00FC5F84">
        <w:rPr>
          <w:rFonts w:ascii="Times New Roman" w:eastAsia="Times New Roman" w:hAnsi="Times New Roman" w:cs="Times New Roman"/>
          <w:sz w:val="24"/>
          <w:szCs w:val="24"/>
        </w:rPr>
        <w:t>d</w:t>
      </w:r>
      <w:r>
        <w:rPr>
          <w:rFonts w:ascii="Times New Roman" w:eastAsia="Times New Roman" w:hAnsi="Times New Roman" w:cs="Times New Roman"/>
          <w:sz w:val="24"/>
          <w:szCs w:val="24"/>
        </w:rPr>
        <w:t xml:space="preserve"> efficace, chi ha funzioni di secondo livello deve indagare il clima del gruppo anche attraverso lo stato psico-emo-fisico di ogni componente dell’équipe, intersecando queste tre dimensioni.</w:t>
      </w:r>
    </w:p>
    <w:p w14:paraId="41697171" w14:textId="77777777" w:rsidR="002778DF" w:rsidRDefault="002778DF">
      <w:pPr>
        <w:spacing w:line="360" w:lineRule="auto"/>
        <w:jc w:val="both"/>
        <w:rPr>
          <w:rFonts w:ascii="Times New Roman" w:eastAsia="Times New Roman" w:hAnsi="Times New Roman" w:cs="Times New Roman"/>
          <w:sz w:val="24"/>
          <w:szCs w:val="24"/>
        </w:rPr>
      </w:pPr>
    </w:p>
    <w:p w14:paraId="41697172" w14:textId="6CB7983E" w:rsidR="002778DF" w:rsidRDefault="007D06E4">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CONNESSIONI </w:t>
      </w:r>
      <w:r w:rsidR="00FC5F84">
        <w:rPr>
          <w:rFonts w:ascii="Times New Roman" w:eastAsia="Times New Roman" w:hAnsi="Times New Roman" w:cs="Times New Roman"/>
          <w:b/>
          <w:sz w:val="24"/>
          <w:szCs w:val="24"/>
        </w:rPr>
        <w:t>CON</w:t>
      </w:r>
      <w:r>
        <w:rPr>
          <w:rFonts w:ascii="Times New Roman" w:eastAsia="Times New Roman" w:hAnsi="Times New Roman" w:cs="Times New Roman"/>
          <w:b/>
          <w:sz w:val="24"/>
          <w:szCs w:val="24"/>
        </w:rPr>
        <w:t xml:space="preserve"> IL CORSO DI LAUREA</w:t>
      </w:r>
    </w:p>
    <w:p w14:paraId="41697173" w14:textId="463A4691"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lavoro svolto in questo workshop ci ha permesso di riprendere, rielaborare e vedere applicati nella pratica, alcuni argomenti trattati nei corsi incontrati fino ad oggi. </w:t>
      </w:r>
      <w:r>
        <w:rPr>
          <w:rFonts w:ascii="Times New Roman" w:eastAsia="Times New Roman" w:hAnsi="Times New Roman" w:cs="Times New Roman"/>
          <w:sz w:val="24"/>
          <w:szCs w:val="24"/>
        </w:rPr>
        <w:br/>
        <w:t xml:space="preserve">Attraverso il </w:t>
      </w:r>
      <w:r>
        <w:rPr>
          <w:rFonts w:ascii="Times New Roman" w:eastAsia="Times New Roman" w:hAnsi="Times New Roman" w:cs="Times New Roman"/>
          <w:i/>
          <w:sz w:val="24"/>
          <w:szCs w:val="24"/>
        </w:rPr>
        <w:t>role play</w:t>
      </w:r>
      <w:r>
        <w:rPr>
          <w:rFonts w:ascii="Times New Roman" w:eastAsia="Times New Roman" w:hAnsi="Times New Roman" w:cs="Times New Roman"/>
          <w:sz w:val="24"/>
          <w:szCs w:val="24"/>
        </w:rPr>
        <w:t xml:space="preserve"> e le riflessioni proposte dalle due pedagogiste, abbiamo ritrovato nella pratica alcune connessioni con la teoria che riportiamo qui di seguito. </w:t>
      </w:r>
    </w:p>
    <w:p w14:paraId="41697174" w14:textId="0C072016"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Possiamo riassumere i contenuti in due filoni principali: la consapevolezza di sé, del proprio modo di condurre le osservazioni, e di auto</w:t>
      </w:r>
      <w:r w:rsidR="00FC5F84">
        <w:rPr>
          <w:rFonts w:ascii="Times New Roman" w:eastAsia="Times New Roman" w:hAnsi="Times New Roman" w:cs="Times New Roman"/>
          <w:sz w:val="24"/>
          <w:szCs w:val="24"/>
        </w:rPr>
        <w:t>-</w:t>
      </w:r>
      <w:r>
        <w:rPr>
          <w:rFonts w:ascii="Times New Roman" w:eastAsia="Times New Roman" w:hAnsi="Times New Roman" w:cs="Times New Roman"/>
          <w:sz w:val="24"/>
          <w:szCs w:val="24"/>
        </w:rPr>
        <w:t>osservarsi mentre si è in situazione; e la gestione e la cura delle dinamiche nel gruppo di lavoro.</w:t>
      </w:r>
    </w:p>
    <w:p w14:paraId="41697175" w14:textId="5DAD5ACF"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ciò che riguarda il primo filone abbiamo trovato riferimenti con quanto trattato nel corso di Consulenza familiare e di Metodologia della ricerca pedagogica. Un primo punto trattato è stato quello di riconoscere il tema del giudizio e pregiudizio che emergono quando portiamo avanti un’osservazione. In questo caso, la riflessione proposta verteva sul fatto di non poter eliminare questo elemento, ma di prenderne consapevolezza per far sì che i nostri giudizi non influenzino le nostre osservazioni. Queste riflessioni ci hanno riportato al corso di Consulenza familiare della Prof</w:t>
      </w:r>
      <w:r w:rsidR="00FC5F84">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ssa Formenti, in cui più volte ci ha aiutato a riflettere e meta-riflettere sulla nostra postura davanti a determinate situazioni educative. Insistendo sulla dimensione relazionale dell’osservazione, come una danza, di cui anche l’osservatore stesso è parte; per </w:t>
      </w:r>
      <w:r>
        <w:rPr>
          <w:rFonts w:ascii="Times New Roman" w:eastAsia="Times New Roman" w:hAnsi="Times New Roman" w:cs="Times New Roman"/>
          <w:sz w:val="24"/>
          <w:szCs w:val="24"/>
        </w:rPr>
        <w:lastRenderedPageBreak/>
        <w:t>cui qualsiasi movimento e cambio di postura dell’osservatore modifica e perturba le dinamiche osservate. Il nostro modo di osservare è plasmato dalla nostra storia, dalle nostre esperienze e dai contesti relazionali che abbiamo attraversato durante il corso della nostra vita. questo ci ha fatto ricollegare alla teoria ecologica di Bronfenbrenner</w:t>
      </w:r>
      <w:r>
        <w:rPr>
          <w:rStyle w:val="Rimandonotaapidipagina"/>
          <w:rFonts w:ascii="Times New Roman" w:eastAsia="Times New Roman" w:hAnsi="Times New Roman" w:cs="Times New Roman"/>
          <w:sz w:val="24"/>
          <w:szCs w:val="24"/>
        </w:rPr>
        <w:footnoteReference w:id="3"/>
      </w:r>
      <w:r>
        <w:rPr>
          <w:rFonts w:ascii="Times New Roman" w:eastAsia="Times New Roman" w:hAnsi="Times New Roman" w:cs="Times New Roman"/>
          <w:sz w:val="24"/>
          <w:szCs w:val="24"/>
        </w:rPr>
        <w:t>. Infine, le conduttrici ci hanno invitato ad osservare come nelle dinamiche d’équipe sia importante “guardare come le parti sono connesse fra loro e quindi vedere ogni parte non isolatamente, ma nelle sue connessioni con tutte le altre.”</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 xml:space="preserve"> </w:t>
      </w:r>
    </w:p>
    <w:p w14:paraId="41697176" w14:textId="4B5DF09E"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questo si collega quanto abbiamo appreso nel corso di Metodologia della ricerca pedagogica, in particolare quando si parla degli strumenti di osservazione nel metodo etnografico. Durante il corso, abbiamo visto come per condurre delle osservazioni sia importante tenere separati gli aspetti oggettivi osservati dalle considerazioni e riflessioni personali che nascono spontaneamente al momento dell’osservazione stessa. Il punto centrale di questa riflessione è proprio quello di prendere consapevolezza di quali siano i nostri condizionamenti per non proiettarli sulla realtà e sulle dinamiche che osserviamo. Infatti, alla coordinatrice è chiesto di prendersi cura del gruppo con cui lavora, ma “la cura è anche </w:t>
      </w:r>
      <w:r w:rsidR="00FC5F84">
        <w:rPr>
          <w:rFonts w:ascii="Times New Roman" w:eastAsia="Times New Roman" w:hAnsi="Times New Roman" w:cs="Times New Roman"/>
          <w:sz w:val="24"/>
          <w:szCs w:val="24"/>
        </w:rPr>
        <w:t>‘</w:t>
      </w:r>
      <w:r>
        <w:rPr>
          <w:rFonts w:ascii="Times New Roman" w:eastAsia="Times New Roman" w:hAnsi="Times New Roman" w:cs="Times New Roman"/>
          <w:sz w:val="24"/>
          <w:szCs w:val="24"/>
        </w:rPr>
        <w:t>cura di sé</w:t>
      </w:r>
      <w:r w:rsidR="00FC5F84">
        <w:rPr>
          <w:rFonts w:ascii="Times New Roman" w:eastAsia="Times New Roman" w:hAnsi="Times New Roman" w:cs="Times New Roman"/>
          <w:sz w:val="24"/>
          <w:szCs w:val="24"/>
        </w:rPr>
        <w:t>’</w:t>
      </w:r>
      <w:r>
        <w:rPr>
          <w:rFonts w:ascii="Times New Roman" w:eastAsia="Times New Roman" w:hAnsi="Times New Roman" w:cs="Times New Roman"/>
          <w:sz w:val="24"/>
          <w:szCs w:val="24"/>
        </w:rPr>
        <w:t>, interrogazione sul proprio lavoro, su sé stessi, sulle proprie aspettative”.</w:t>
      </w:r>
      <w:r>
        <w:rPr>
          <w:rFonts w:ascii="Times New Roman" w:eastAsia="Times New Roman" w:hAnsi="Times New Roman" w:cs="Times New Roman"/>
          <w:sz w:val="24"/>
          <w:szCs w:val="24"/>
          <w:vertAlign w:val="superscript"/>
        </w:rPr>
        <w:footnoteReference w:id="5"/>
      </w:r>
    </w:p>
    <w:p w14:paraId="41697177" w14:textId="60F18A1A"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Per quanto riguarda la gestione e la cura del gruppo di lavoro, abbiamo trovato riferimenti al corso di Coordinamento pedagogico dei servizi educativi con la </w:t>
      </w:r>
      <w:r w:rsidR="00FC5F84">
        <w:rPr>
          <w:rFonts w:ascii="Times New Roman" w:eastAsia="Times New Roman" w:hAnsi="Times New Roman" w:cs="Times New Roman"/>
          <w:sz w:val="24"/>
          <w:szCs w:val="24"/>
        </w:rPr>
        <w:t>P</w:t>
      </w:r>
      <w:r>
        <w:rPr>
          <w:rFonts w:ascii="Times New Roman" w:eastAsia="Times New Roman" w:hAnsi="Times New Roman" w:cs="Times New Roman"/>
          <w:sz w:val="24"/>
          <w:szCs w:val="24"/>
        </w:rPr>
        <w:t>rof</w:t>
      </w:r>
      <w:r w:rsidR="00FC5F84">
        <w:rPr>
          <w:rFonts w:ascii="Times New Roman" w:eastAsia="Times New Roman" w:hAnsi="Times New Roman" w:cs="Times New Roman"/>
          <w:sz w:val="24"/>
          <w:szCs w:val="24"/>
        </w:rPr>
        <w:t>.</w:t>
      </w:r>
      <w:r>
        <w:rPr>
          <w:rFonts w:ascii="Times New Roman" w:eastAsia="Times New Roman" w:hAnsi="Times New Roman" w:cs="Times New Roman"/>
          <w:sz w:val="24"/>
          <w:szCs w:val="24"/>
        </w:rPr>
        <w:t>ssa Guerra e il prof</w:t>
      </w:r>
      <w:r w:rsidR="00FC5F8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Galimberti. Nel modello di coordinamento multidimensionale proposto da Silvio Premoli la cura del gruppo di lavoro è una delle dimensioni del coordinamento pedagogico. Questo comporta che anche il modo di condurre un’équipe e di osservarne le dinamiche deve essere condotta dal coordinatore, sempre in un’ottica di cura del </w:t>
      </w:r>
      <w:r w:rsidR="00FC5F84">
        <w:rPr>
          <w:rFonts w:ascii="Times New Roman" w:eastAsia="Times New Roman" w:hAnsi="Times New Roman" w:cs="Times New Roman"/>
          <w:sz w:val="24"/>
          <w:szCs w:val="24"/>
        </w:rPr>
        <w:t>gruppo; infatti,</w:t>
      </w:r>
      <w:r>
        <w:rPr>
          <w:rFonts w:ascii="Times New Roman" w:eastAsia="Times New Roman" w:hAnsi="Times New Roman" w:cs="Times New Roman"/>
          <w:sz w:val="24"/>
          <w:szCs w:val="24"/>
        </w:rPr>
        <w:t xml:space="preserve"> è necessario che assuma “uno sguardo pedagogico nell’osservare, pensare e agire ogni aspetto del proprio ruolo”</w:t>
      </w:r>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xml:space="preserve">. Durante il corso, abbiamo approfondito questo aspetto grazie all’analisi del funzionamento dei gruppi di lavoro proposta da Quaglino e Cortese. </w:t>
      </w:r>
    </w:p>
    <w:p w14:paraId="41697178"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Attraverso il role playing abbiamo approfondito il tema della gestione dei conflitti, che la coordinatrice deve saper osservare, accogliere e gestire. Infatti, </w:t>
      </w:r>
    </w:p>
    <w:p w14:paraId="41697179" w14:textId="77777777" w:rsidR="002778DF" w:rsidRDefault="002778DF">
      <w:pPr>
        <w:spacing w:line="360" w:lineRule="auto"/>
        <w:jc w:val="both"/>
        <w:rPr>
          <w:rFonts w:ascii="Times New Roman" w:eastAsia="Times New Roman" w:hAnsi="Times New Roman" w:cs="Times New Roman"/>
          <w:sz w:val="24"/>
          <w:szCs w:val="24"/>
        </w:rPr>
      </w:pPr>
    </w:p>
    <w:p w14:paraId="4169717A" w14:textId="57726CA0" w:rsidR="002778DF" w:rsidRDefault="007D06E4">
      <w:pPr>
        <w:spacing w:line="360" w:lineRule="auto"/>
        <w:ind w:left="566" w:right="526"/>
        <w:jc w:val="both"/>
        <w:rPr>
          <w:rFonts w:ascii="Times New Roman" w:eastAsia="Times New Roman" w:hAnsi="Times New Roman" w:cs="Times New Roman"/>
          <w:sz w:val="24"/>
          <w:szCs w:val="24"/>
        </w:rPr>
      </w:pPr>
      <w:r>
        <w:rPr>
          <w:rFonts w:ascii="Times New Roman" w:eastAsia="Times New Roman" w:hAnsi="Times New Roman" w:cs="Times New Roman"/>
          <w:sz w:val="20"/>
          <w:szCs w:val="20"/>
        </w:rPr>
        <w:lastRenderedPageBreak/>
        <w:t>il coordinatore pedagogico, nel dover fronteggiare conflitti (intersoggettivi e intrasoggettivi) che possono minare il benessere e il clima dell’intero gruppo di lavoro, deve essere in grado di dispiegare tale atteggiamento relazionale che prende la forma di consulenza operativa, intenzionalmente e pedagogicamente orientata, sorretta da abilità e tecniche d’aiuto, di cura e di ascolto</w:t>
      </w:r>
      <w:r>
        <w:rPr>
          <w:rFonts w:ascii="Times New Roman" w:eastAsia="Times New Roman" w:hAnsi="Times New Roman" w:cs="Times New Roman"/>
          <w:sz w:val="24"/>
          <w:szCs w:val="24"/>
          <w:vertAlign w:val="superscript"/>
        </w:rPr>
        <w:footnoteReference w:id="7"/>
      </w:r>
      <w:r>
        <w:rPr>
          <w:rFonts w:ascii="Times New Roman" w:eastAsia="Times New Roman" w:hAnsi="Times New Roman" w:cs="Times New Roman"/>
          <w:sz w:val="24"/>
          <w:szCs w:val="24"/>
        </w:rPr>
        <w:t>.</w:t>
      </w:r>
    </w:p>
    <w:p w14:paraId="4169717B" w14:textId="77777777" w:rsidR="002778DF" w:rsidRDefault="002778DF">
      <w:pPr>
        <w:spacing w:line="360" w:lineRule="auto"/>
        <w:jc w:val="both"/>
        <w:rPr>
          <w:rFonts w:ascii="Times New Roman" w:eastAsia="Times New Roman" w:hAnsi="Times New Roman" w:cs="Times New Roman"/>
          <w:sz w:val="24"/>
          <w:szCs w:val="24"/>
        </w:rPr>
      </w:pPr>
    </w:p>
    <w:p w14:paraId="4169717C"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CONCLUSIONI</w:t>
      </w:r>
      <w:r>
        <w:rPr>
          <w:rFonts w:ascii="Times New Roman" w:eastAsia="Times New Roman" w:hAnsi="Times New Roman" w:cs="Times New Roman"/>
          <w:b/>
          <w:sz w:val="24"/>
          <w:szCs w:val="24"/>
        </w:rPr>
        <w:br/>
      </w:r>
      <w:r>
        <w:rPr>
          <w:rFonts w:ascii="Times New Roman" w:eastAsia="Times New Roman" w:hAnsi="Times New Roman" w:cs="Times New Roman"/>
          <w:sz w:val="24"/>
          <w:szCs w:val="24"/>
        </w:rPr>
        <w:t>Riportiamo, in conclusione, alcune nostre personali riflessioni che riassumono l’esperienza vissuta e rappresentano le nostre impressioni e quello che più ci è rimasto in corpo dopo questo workshop.</w:t>
      </w:r>
    </w:p>
    <w:p w14:paraId="4169717D" w14:textId="77777777" w:rsidR="002778DF" w:rsidRDefault="002778DF">
      <w:pPr>
        <w:spacing w:line="360" w:lineRule="auto"/>
        <w:jc w:val="both"/>
        <w:rPr>
          <w:rFonts w:ascii="Times New Roman" w:eastAsia="Times New Roman" w:hAnsi="Times New Roman" w:cs="Times New Roman"/>
          <w:sz w:val="24"/>
          <w:szCs w:val="24"/>
        </w:rPr>
      </w:pPr>
    </w:p>
    <w:p w14:paraId="4169717E"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La frase che mi è rimasta più impressa ed è stata significativa per me è: “Si parte da noi stessi per arrivare agli altri”</w:t>
      </w:r>
      <w:r>
        <w:rPr>
          <w:rFonts w:ascii="Times New Roman" w:eastAsia="Times New Roman" w:hAnsi="Times New Roman" w:cs="Times New Roman"/>
          <w:sz w:val="24"/>
          <w:szCs w:val="24"/>
        </w:rPr>
        <w:t>. Alice Galli</w:t>
      </w:r>
    </w:p>
    <w:p w14:paraId="4169717F" w14:textId="77777777" w:rsidR="002778DF" w:rsidRDefault="002778DF">
      <w:pPr>
        <w:spacing w:line="360" w:lineRule="auto"/>
        <w:jc w:val="both"/>
        <w:rPr>
          <w:rFonts w:ascii="Times New Roman" w:eastAsia="Times New Roman" w:hAnsi="Times New Roman" w:cs="Times New Roman"/>
          <w:sz w:val="24"/>
          <w:szCs w:val="24"/>
        </w:rPr>
      </w:pPr>
    </w:p>
    <w:p w14:paraId="41697180"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Per me la frase più significativa è quella che definisce l’educatore come il primo strumento di educazione. Questo, per me, sottolinea quanto sia essenziale non dare mai per scontato il nostro stato d’animo e quello degli altri, perché da lì parte ogni relazione educativa autentica</w:t>
      </w:r>
      <w:r>
        <w:rPr>
          <w:rFonts w:ascii="Times New Roman" w:eastAsia="Times New Roman" w:hAnsi="Times New Roman" w:cs="Times New Roman"/>
          <w:sz w:val="24"/>
          <w:szCs w:val="24"/>
        </w:rPr>
        <w:t>. Nora Semki</w:t>
      </w:r>
    </w:p>
    <w:p w14:paraId="41697181" w14:textId="77777777" w:rsidR="002778DF" w:rsidRDefault="002778DF">
      <w:pPr>
        <w:spacing w:line="360" w:lineRule="auto"/>
        <w:jc w:val="both"/>
        <w:rPr>
          <w:rFonts w:ascii="Times New Roman" w:eastAsia="Times New Roman" w:hAnsi="Times New Roman" w:cs="Times New Roman"/>
          <w:sz w:val="24"/>
          <w:szCs w:val="24"/>
        </w:rPr>
      </w:pPr>
    </w:p>
    <w:p w14:paraId="41697182"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Questa esperienza mi ha fatto molto riflettere su quanto la costante osservazione di noi stessi sia una pratica di autoeducazione non solo da sottovalutare, ma da esercitare quotidianamente alla ricerca di nuove prospettive su noi stessi, i nostri pattern e le nostre modalità di intervento</w:t>
      </w:r>
      <w:r>
        <w:rPr>
          <w:rFonts w:ascii="Times New Roman" w:eastAsia="Times New Roman" w:hAnsi="Times New Roman" w:cs="Times New Roman"/>
          <w:sz w:val="24"/>
          <w:szCs w:val="24"/>
        </w:rPr>
        <w:t>. Erika Palumbo</w:t>
      </w:r>
    </w:p>
    <w:p w14:paraId="41697183" w14:textId="77777777" w:rsidR="002778DF" w:rsidRDefault="002778DF">
      <w:pPr>
        <w:spacing w:line="360" w:lineRule="auto"/>
        <w:jc w:val="both"/>
        <w:rPr>
          <w:rFonts w:ascii="Times New Roman" w:eastAsia="Times New Roman" w:hAnsi="Times New Roman" w:cs="Times New Roman"/>
          <w:sz w:val="24"/>
          <w:szCs w:val="24"/>
        </w:rPr>
      </w:pPr>
    </w:p>
    <w:p w14:paraId="41697184"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Ho trovato molto interessante il discorso sull’auto-osservazione per capire davvero chi siamo noi, quali sono i condizionamenti e i pregiudizi che muovono il nostro agire. Un aspetto da non sottovalutare, ma anzi da approfondire ed esercitare</w:t>
      </w:r>
      <w:r>
        <w:rPr>
          <w:rFonts w:ascii="Times New Roman" w:eastAsia="Times New Roman" w:hAnsi="Times New Roman" w:cs="Times New Roman"/>
          <w:sz w:val="24"/>
          <w:szCs w:val="24"/>
        </w:rPr>
        <w:t>. Elisa Tentori</w:t>
      </w:r>
    </w:p>
    <w:p w14:paraId="41697185" w14:textId="77777777" w:rsidR="002778DF" w:rsidRDefault="002778DF">
      <w:pPr>
        <w:spacing w:line="360" w:lineRule="auto"/>
        <w:jc w:val="both"/>
        <w:rPr>
          <w:rFonts w:ascii="Times New Roman" w:eastAsia="Times New Roman" w:hAnsi="Times New Roman" w:cs="Times New Roman"/>
          <w:sz w:val="24"/>
          <w:szCs w:val="24"/>
        </w:rPr>
      </w:pPr>
    </w:p>
    <w:p w14:paraId="41697186"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A me ha aiutato il role play per provare a mettersi nei panni della coordinatrice, osservare le dinamiche di gruppo e auto-osservarsi in situazione</w:t>
      </w:r>
      <w:r>
        <w:rPr>
          <w:rFonts w:ascii="Times New Roman" w:eastAsia="Times New Roman" w:hAnsi="Times New Roman" w:cs="Times New Roman"/>
          <w:sz w:val="24"/>
          <w:szCs w:val="24"/>
        </w:rPr>
        <w:t>. Giulia Gambaro</w:t>
      </w:r>
    </w:p>
    <w:p w14:paraId="41697187" w14:textId="77777777" w:rsidR="002778DF" w:rsidRDefault="002778DF">
      <w:pPr>
        <w:spacing w:line="360" w:lineRule="auto"/>
        <w:jc w:val="both"/>
        <w:rPr>
          <w:rFonts w:ascii="Times New Roman" w:eastAsia="Times New Roman" w:hAnsi="Times New Roman" w:cs="Times New Roman"/>
          <w:sz w:val="24"/>
          <w:szCs w:val="24"/>
        </w:rPr>
      </w:pPr>
    </w:p>
    <w:p w14:paraId="41697188" w14:textId="1B1A22F3"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Il lavoro costante e metodico su noi stessi, a partire dall’osservazione anche auto-referenziata, come principale attore della costruzione della relazione, del setting educativo e, infine, </w:t>
      </w:r>
      <w:r>
        <w:rPr>
          <w:rFonts w:ascii="Times New Roman" w:eastAsia="Times New Roman" w:hAnsi="Times New Roman" w:cs="Times New Roman"/>
          <w:i/>
          <w:sz w:val="24"/>
          <w:szCs w:val="24"/>
        </w:rPr>
        <w:lastRenderedPageBreak/>
        <w:t>dell’evento educativo propriamente inteso, mi ha riportato indietro al lavoro su me stessa come base fondamentale e principale del nostro lavoro, sia come educatrici che come professioniste di secondo livello</w:t>
      </w:r>
      <w:r>
        <w:rPr>
          <w:rFonts w:ascii="Times New Roman" w:eastAsia="Times New Roman" w:hAnsi="Times New Roman" w:cs="Times New Roman"/>
          <w:sz w:val="24"/>
          <w:szCs w:val="24"/>
        </w:rPr>
        <w:t xml:space="preserve">. Maila Celotto </w:t>
      </w:r>
    </w:p>
    <w:p w14:paraId="2BEE88D9" w14:textId="77777777" w:rsidR="002E5E0F" w:rsidRDefault="002E5E0F">
      <w:pPr>
        <w:spacing w:line="360" w:lineRule="auto"/>
        <w:jc w:val="both"/>
        <w:rPr>
          <w:rFonts w:ascii="Times New Roman" w:eastAsia="Times New Roman" w:hAnsi="Times New Roman" w:cs="Times New Roman"/>
          <w:sz w:val="24"/>
          <w:szCs w:val="24"/>
        </w:rPr>
      </w:pPr>
    </w:p>
    <w:p w14:paraId="42AEDB0D" w14:textId="57092DB0" w:rsidR="002E5E0F" w:rsidRDefault="00C6468E">
      <w:pPr>
        <w:spacing w:line="360" w:lineRule="auto"/>
        <w:jc w:val="both"/>
        <w:rPr>
          <w:rFonts w:ascii="Times New Roman" w:eastAsia="Times New Roman" w:hAnsi="Times New Roman" w:cs="Times New Roman"/>
          <w:sz w:val="24"/>
          <w:szCs w:val="24"/>
        </w:rPr>
      </w:pPr>
      <w:r w:rsidRPr="00EA1B6F">
        <w:rPr>
          <w:rFonts w:ascii="Times New Roman" w:eastAsia="Times New Roman" w:hAnsi="Times New Roman" w:cs="Times New Roman"/>
          <w:i/>
          <w:iCs/>
          <w:sz w:val="24"/>
          <w:szCs w:val="24"/>
        </w:rPr>
        <w:t>Attraverso il workshop</w:t>
      </w:r>
      <w:r w:rsidR="00B7569C" w:rsidRPr="00EA1B6F">
        <w:rPr>
          <w:rFonts w:ascii="Times New Roman" w:eastAsia="Times New Roman" w:hAnsi="Times New Roman" w:cs="Times New Roman"/>
          <w:i/>
          <w:iCs/>
          <w:sz w:val="24"/>
          <w:szCs w:val="24"/>
        </w:rPr>
        <w:t>, ho avuto la possibilità di riflettere ulteriormente sull’importanza della consapevolezza</w:t>
      </w:r>
      <w:r w:rsidR="0067545C" w:rsidRPr="00EA1B6F">
        <w:rPr>
          <w:rFonts w:ascii="Times New Roman" w:eastAsia="Times New Roman" w:hAnsi="Times New Roman" w:cs="Times New Roman"/>
          <w:i/>
          <w:iCs/>
          <w:sz w:val="24"/>
          <w:szCs w:val="24"/>
        </w:rPr>
        <w:t xml:space="preserve"> del sistema di valori e credenze che guida ciascuno di noi. Solo conoscendo ciò che ci muove</w:t>
      </w:r>
      <w:r w:rsidR="00EA1B6F" w:rsidRPr="00EA1B6F">
        <w:rPr>
          <w:rFonts w:ascii="Times New Roman" w:eastAsia="Times New Roman" w:hAnsi="Times New Roman" w:cs="Times New Roman"/>
          <w:i/>
          <w:iCs/>
          <w:sz w:val="24"/>
          <w:szCs w:val="24"/>
        </w:rPr>
        <w:t>, abbiamo la possibilità di esercitare professionalità in modo più lucido e cosciente.</w:t>
      </w:r>
      <w:r w:rsidR="00EA1B6F">
        <w:rPr>
          <w:rFonts w:ascii="Times New Roman" w:eastAsia="Times New Roman" w:hAnsi="Times New Roman" w:cs="Times New Roman"/>
          <w:sz w:val="24"/>
          <w:szCs w:val="24"/>
        </w:rPr>
        <w:t xml:space="preserve"> Chiara Caminici</w:t>
      </w:r>
    </w:p>
    <w:p w14:paraId="41697189" w14:textId="77777777" w:rsidR="002778DF" w:rsidRDefault="002778DF">
      <w:pPr>
        <w:spacing w:line="360" w:lineRule="auto"/>
        <w:jc w:val="both"/>
        <w:rPr>
          <w:rFonts w:ascii="Times New Roman" w:eastAsia="Times New Roman" w:hAnsi="Times New Roman" w:cs="Times New Roman"/>
          <w:sz w:val="24"/>
          <w:szCs w:val="24"/>
        </w:rPr>
      </w:pPr>
    </w:p>
    <w:p w14:paraId="4169718A" w14:textId="71D3EB0B"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L’esperienza ci ha, quindi, permesso di mettere in pratica il nostro sguardo </w:t>
      </w:r>
      <w:r w:rsidR="00FC5F84">
        <w:rPr>
          <w:rFonts w:ascii="Times New Roman" w:eastAsia="Times New Roman" w:hAnsi="Times New Roman" w:cs="Times New Roman"/>
          <w:sz w:val="24"/>
          <w:szCs w:val="24"/>
        </w:rPr>
        <w:t xml:space="preserve">educativo </w:t>
      </w:r>
      <w:r>
        <w:rPr>
          <w:rFonts w:ascii="Times New Roman" w:eastAsia="Times New Roman" w:hAnsi="Times New Roman" w:cs="Times New Roman"/>
          <w:sz w:val="24"/>
          <w:szCs w:val="24"/>
        </w:rPr>
        <w:t>di secondo livello attraverso uno strumento che solitamente utilizziamo come operatori di primo e ci ha permesso di riposizionare la nostra pratica in formazione su temi come l’osservazione, il giudizio, il pregiudizio, la consapevolezza di sé, assunti come basi per la costruzione di un professionista della relazione di aiuto capace di maneggiare la materia educativa con competenza, abilità e destrezza a partire prima di tutto da sé stessi.</w:t>
      </w:r>
    </w:p>
    <w:p w14:paraId="4169718B" w14:textId="44D9281B"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Non si </w:t>
      </w:r>
      <w:r w:rsidR="00FC5F84">
        <w:rPr>
          <w:rFonts w:ascii="Times New Roman" w:eastAsia="Times New Roman" w:hAnsi="Times New Roman" w:cs="Times New Roman"/>
          <w:sz w:val="24"/>
          <w:szCs w:val="24"/>
        </w:rPr>
        <w:t>dà</w:t>
      </w:r>
      <w:r>
        <w:rPr>
          <w:rFonts w:ascii="Times New Roman" w:eastAsia="Times New Roman" w:hAnsi="Times New Roman" w:cs="Times New Roman"/>
          <w:sz w:val="24"/>
          <w:szCs w:val="24"/>
        </w:rPr>
        <w:t xml:space="preserve"> evento educativo intenzionale e formale se non si parte da noi stessi come attori attivi, partecipanti e responsabili di cosa accade sia in noi che negli altri, quando co-costruiamo un contesto educativo volto alla trasformazione delle storie di vita di coloro ai quali, nel nostro lavoro, tocca condividere le nostre pratiche educative.</w:t>
      </w:r>
    </w:p>
    <w:p w14:paraId="4169718C" w14:textId="77777777" w:rsidR="002778DF" w:rsidRDefault="007D06E4">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L’importanza di conoscere se stessi, come primo strumento agente verso gli altri, è tutela sia per noi stesse come persone e come professioniste nei contesti di cura e di aiuto, sia per gli altri che incontriamo, i quali ci chiedono, anche in modi impliciti e silenziosi, di riuscire a costruire altre direttrici possibili e migliori della loro vita.</w:t>
      </w:r>
    </w:p>
    <w:p w14:paraId="4169718D" w14:textId="77777777" w:rsidR="002778DF" w:rsidRDefault="007D06E4">
      <w:pPr>
        <w:spacing w:line="360" w:lineRule="auto"/>
        <w:jc w:val="both"/>
        <w:rPr>
          <w:rFonts w:ascii="Times New Roman" w:eastAsia="Times New Roman" w:hAnsi="Times New Roman" w:cs="Times New Roman"/>
          <w:sz w:val="24"/>
          <w:szCs w:val="24"/>
        </w:rPr>
      </w:pPr>
      <w:r>
        <w:br w:type="page"/>
      </w:r>
    </w:p>
    <w:p w14:paraId="4169718E" w14:textId="43409F75" w:rsidR="002778DF" w:rsidRDefault="007D06E4">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BIBLIOGRAFIA</w:t>
      </w:r>
    </w:p>
    <w:p w14:paraId="4169718F" w14:textId="77777777" w:rsidR="002778DF" w:rsidRDefault="002778DF">
      <w:pPr>
        <w:spacing w:line="360" w:lineRule="auto"/>
        <w:jc w:val="both"/>
        <w:rPr>
          <w:rFonts w:ascii="Times New Roman" w:eastAsia="Times New Roman" w:hAnsi="Times New Roman" w:cs="Times New Roman"/>
          <w:b/>
          <w:sz w:val="24"/>
          <w:szCs w:val="24"/>
        </w:rPr>
      </w:pPr>
    </w:p>
    <w:p w14:paraId="41697190" w14:textId="77777777" w:rsidR="002778DF" w:rsidRDefault="007D06E4" w:rsidP="00C009A7">
      <w:pPr>
        <w:spacing w:line="360" w:lineRule="auto"/>
        <w:ind w:left="36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Bove C., (2015), </w:t>
      </w:r>
      <w:r>
        <w:rPr>
          <w:rFonts w:ascii="Times New Roman" w:eastAsia="Times New Roman" w:hAnsi="Times New Roman" w:cs="Times New Roman"/>
          <w:i/>
          <w:sz w:val="24"/>
          <w:szCs w:val="24"/>
        </w:rPr>
        <w:t>Ricerca educativa e formazione. Contaminazioni metodologiche</w:t>
      </w:r>
      <w:r>
        <w:rPr>
          <w:rFonts w:ascii="Times New Roman" w:eastAsia="Times New Roman" w:hAnsi="Times New Roman" w:cs="Times New Roman"/>
          <w:sz w:val="24"/>
          <w:szCs w:val="24"/>
        </w:rPr>
        <w:t>. Franco Angeli, Milano</w:t>
      </w:r>
    </w:p>
    <w:p w14:paraId="76DD8BFC" w14:textId="77777777" w:rsidR="00C009A7" w:rsidRDefault="00C009A7" w:rsidP="00C009A7">
      <w:pPr>
        <w:spacing w:line="360" w:lineRule="auto"/>
        <w:ind w:left="360"/>
        <w:rPr>
          <w:rFonts w:ascii="Times New Roman" w:eastAsia="Times New Roman" w:hAnsi="Times New Roman" w:cs="Times New Roman"/>
          <w:sz w:val="24"/>
          <w:szCs w:val="24"/>
        </w:rPr>
      </w:pPr>
    </w:p>
    <w:p w14:paraId="41697191" w14:textId="77777777" w:rsidR="002778DF" w:rsidRDefault="007D06E4" w:rsidP="00C009A7">
      <w:pPr>
        <w:spacing w:line="360" w:lineRule="auto"/>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Formenti L. (a cura di) (2016), Re-inventare la famiglia. Guida teorico-pratica per i professionisti dell’educazione, ed. Maggioli, Santarcangelo di Romagna (RN)</w:t>
      </w:r>
    </w:p>
    <w:p w14:paraId="1B3DB29B" w14:textId="77777777" w:rsidR="00C009A7" w:rsidRDefault="00C009A7" w:rsidP="00C009A7">
      <w:pPr>
        <w:spacing w:line="360" w:lineRule="auto"/>
        <w:ind w:left="360"/>
        <w:jc w:val="both"/>
        <w:rPr>
          <w:rFonts w:ascii="Times New Roman" w:eastAsia="Times New Roman" w:hAnsi="Times New Roman" w:cs="Times New Roman"/>
          <w:sz w:val="24"/>
          <w:szCs w:val="24"/>
        </w:rPr>
      </w:pPr>
    </w:p>
    <w:p w14:paraId="41697192" w14:textId="77777777" w:rsidR="002778DF" w:rsidRDefault="007D06E4" w:rsidP="00C009A7">
      <w:pPr>
        <w:spacing w:line="360" w:lineRule="auto"/>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Lauria F., (2014) </w:t>
      </w:r>
      <w:r>
        <w:rPr>
          <w:rFonts w:ascii="Times New Roman" w:eastAsia="Times New Roman" w:hAnsi="Times New Roman" w:cs="Times New Roman"/>
          <w:i/>
          <w:sz w:val="24"/>
          <w:szCs w:val="24"/>
        </w:rPr>
        <w:t>L’acrobata. Il coordinatore pedagogico attraverso la lente del cinema</w:t>
      </w:r>
      <w:r>
        <w:rPr>
          <w:rFonts w:ascii="Times New Roman" w:eastAsia="Times New Roman" w:hAnsi="Times New Roman" w:cs="Times New Roman"/>
          <w:sz w:val="24"/>
          <w:szCs w:val="24"/>
        </w:rPr>
        <w:t>, Aracne, Ariccia (RM)</w:t>
      </w:r>
    </w:p>
    <w:p w14:paraId="0E1ABF56" w14:textId="77777777" w:rsidR="00C009A7" w:rsidRDefault="00C009A7" w:rsidP="00C009A7">
      <w:pPr>
        <w:spacing w:line="360" w:lineRule="auto"/>
        <w:ind w:left="360"/>
        <w:jc w:val="both"/>
        <w:rPr>
          <w:rFonts w:ascii="Times New Roman" w:eastAsia="Times New Roman" w:hAnsi="Times New Roman" w:cs="Times New Roman"/>
          <w:sz w:val="24"/>
          <w:szCs w:val="24"/>
        </w:rPr>
      </w:pPr>
    </w:p>
    <w:p w14:paraId="41697193" w14:textId="138CB014" w:rsidR="002778DF" w:rsidRDefault="007D06E4" w:rsidP="00C009A7">
      <w:pPr>
        <w:spacing w:line="360" w:lineRule="auto"/>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Premoli S. (a cura di) (2008), </w:t>
      </w:r>
      <w:r>
        <w:rPr>
          <w:rFonts w:ascii="Times New Roman" w:eastAsia="Times New Roman" w:hAnsi="Times New Roman" w:cs="Times New Roman"/>
          <w:i/>
          <w:sz w:val="24"/>
          <w:szCs w:val="24"/>
        </w:rPr>
        <w:t>Il coordinamento pedagogico nei servizi socioeducativi</w:t>
      </w:r>
      <w:r>
        <w:rPr>
          <w:rFonts w:ascii="Times New Roman" w:eastAsia="Times New Roman" w:hAnsi="Times New Roman" w:cs="Times New Roman"/>
          <w:sz w:val="24"/>
          <w:szCs w:val="24"/>
        </w:rPr>
        <w:t>, Franco Angeli, Milano</w:t>
      </w:r>
    </w:p>
    <w:p w14:paraId="3D107990" w14:textId="77777777" w:rsidR="00AA3D8F" w:rsidRDefault="00AA3D8F" w:rsidP="00C009A7">
      <w:pPr>
        <w:spacing w:line="360" w:lineRule="auto"/>
        <w:ind w:left="360"/>
        <w:jc w:val="both"/>
        <w:rPr>
          <w:rFonts w:ascii="Times New Roman" w:eastAsia="Times New Roman" w:hAnsi="Times New Roman" w:cs="Times New Roman"/>
          <w:sz w:val="24"/>
          <w:szCs w:val="24"/>
        </w:rPr>
      </w:pPr>
    </w:p>
    <w:p w14:paraId="41697194" w14:textId="5AC4FB54" w:rsidR="002778DF" w:rsidRDefault="007D06E4" w:rsidP="00C009A7">
      <w:pPr>
        <w:spacing w:line="360" w:lineRule="auto"/>
        <w:ind w:left="36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Sclavi M. (2003), </w:t>
      </w:r>
      <w:r>
        <w:rPr>
          <w:rFonts w:ascii="Times New Roman" w:eastAsia="Times New Roman" w:hAnsi="Times New Roman" w:cs="Times New Roman"/>
          <w:i/>
          <w:sz w:val="24"/>
          <w:szCs w:val="24"/>
        </w:rPr>
        <w:t>Arte di ascoltare e mondi possibili. Come si esce dalle cornici di cui siamo parte</w:t>
      </w:r>
      <w:r w:rsidR="00AA3D8F">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Mondadori</w:t>
      </w:r>
      <w:r w:rsidR="00AA3D8F">
        <w:rPr>
          <w:rFonts w:ascii="Times New Roman" w:eastAsia="Times New Roman" w:hAnsi="Times New Roman" w:cs="Times New Roman"/>
          <w:sz w:val="24"/>
          <w:szCs w:val="24"/>
        </w:rPr>
        <w:t>, Milano</w:t>
      </w:r>
    </w:p>
    <w:p w14:paraId="71A60972" w14:textId="77777777" w:rsidR="00AA3D8F" w:rsidRDefault="00AA3D8F" w:rsidP="00C009A7">
      <w:pPr>
        <w:spacing w:line="360" w:lineRule="auto"/>
        <w:ind w:left="360"/>
        <w:jc w:val="both"/>
        <w:rPr>
          <w:rFonts w:ascii="Times New Roman" w:eastAsia="Times New Roman" w:hAnsi="Times New Roman" w:cs="Times New Roman"/>
          <w:sz w:val="24"/>
          <w:szCs w:val="24"/>
        </w:rPr>
      </w:pPr>
    </w:p>
    <w:p w14:paraId="41697195" w14:textId="77777777" w:rsidR="002778DF" w:rsidRDefault="007D06E4" w:rsidP="00C009A7">
      <w:pPr>
        <w:spacing w:line="360" w:lineRule="auto"/>
        <w:ind w:left="360"/>
        <w:jc w:val="both"/>
        <w:rPr>
          <w:rFonts w:ascii="Times New Roman" w:eastAsia="Times New Roman" w:hAnsi="Times New Roman" w:cs="Times New Roman"/>
          <w:sz w:val="24"/>
          <w:szCs w:val="24"/>
        </w:rPr>
      </w:pPr>
      <w:hyperlink r:id="rId15">
        <w:r>
          <w:rPr>
            <w:rFonts w:ascii="Times New Roman" w:eastAsia="Times New Roman" w:hAnsi="Times New Roman" w:cs="Times New Roman"/>
            <w:color w:val="1155CC"/>
            <w:sz w:val="24"/>
            <w:szCs w:val="24"/>
            <w:u w:val="single"/>
          </w:rPr>
          <w:t>https://www.youtube.com/watch?v=IGQmdoK_ZfY</w:t>
        </w:r>
      </w:hyperlink>
      <w:r>
        <w:rPr>
          <w:rFonts w:ascii="Times New Roman" w:eastAsia="Times New Roman" w:hAnsi="Times New Roman" w:cs="Times New Roman"/>
          <w:sz w:val="24"/>
          <w:szCs w:val="24"/>
        </w:rPr>
        <w:t xml:space="preserve"> - video “contare i passaggi”.</w:t>
      </w:r>
    </w:p>
    <w:p w14:paraId="34CD0B3E" w14:textId="77777777" w:rsidR="00AA3D8F" w:rsidRDefault="00AA3D8F" w:rsidP="00C009A7">
      <w:pPr>
        <w:spacing w:line="360" w:lineRule="auto"/>
        <w:ind w:left="360"/>
        <w:jc w:val="both"/>
        <w:rPr>
          <w:rFonts w:ascii="Times New Roman" w:eastAsia="Times New Roman" w:hAnsi="Times New Roman" w:cs="Times New Roman"/>
          <w:sz w:val="24"/>
          <w:szCs w:val="24"/>
        </w:rPr>
      </w:pPr>
    </w:p>
    <w:p w14:paraId="3B352783" w14:textId="6FFF6BEC" w:rsidR="002778DF" w:rsidRPr="00C009A7" w:rsidRDefault="007D06E4" w:rsidP="00AA3D8F">
      <w:pPr>
        <w:spacing w:line="360" w:lineRule="auto"/>
        <w:ind w:left="360"/>
        <w:rPr>
          <w:rFonts w:ascii="Times New Roman" w:eastAsia="Times New Roman" w:hAnsi="Times New Roman" w:cs="Times New Roman"/>
          <w:color w:val="1155CC"/>
          <w:sz w:val="24"/>
          <w:szCs w:val="24"/>
          <w:u w:val="single"/>
        </w:rPr>
      </w:pPr>
      <w:r>
        <w:rPr>
          <w:rFonts w:ascii="Times New Roman" w:eastAsia="Times New Roman" w:hAnsi="Times New Roman" w:cs="Times New Roman"/>
          <w:sz w:val="24"/>
          <w:szCs w:val="24"/>
        </w:rPr>
        <w:t xml:space="preserve">Definizione di osservazione per la Pedagogia del Terzo Millennio: </w:t>
      </w:r>
      <w:hyperlink r:id="rId16">
        <w:r>
          <w:rPr>
            <w:rFonts w:ascii="Times New Roman" w:eastAsia="Times New Roman" w:hAnsi="Times New Roman" w:cs="Times New Roman"/>
            <w:color w:val="1155CC"/>
            <w:sz w:val="24"/>
            <w:szCs w:val="24"/>
            <w:u w:val="single"/>
          </w:rPr>
          <w:t>https://fondazionepatriziopaoletti.org/glossario/pedagogia-per-il-terzo-millennio</w:t>
        </w:r>
      </w:hyperlink>
    </w:p>
    <w:sectPr w:rsidR="002778DF" w:rsidRPr="00C009A7">
      <w:headerReference w:type="even" r:id="rId17"/>
      <w:headerReference w:type="default" r:id="rId18"/>
      <w:footerReference w:type="even" r:id="rId19"/>
      <w:footerReference w:type="default" r:id="rId20"/>
      <w:headerReference w:type="first" r:id="rId21"/>
      <w:footerReference w:type="first" r:id="rId22"/>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FC7EF2" w14:textId="77777777" w:rsidR="001C0BF6" w:rsidRDefault="001C0BF6">
      <w:pPr>
        <w:spacing w:line="240" w:lineRule="auto"/>
      </w:pPr>
      <w:r>
        <w:separator/>
      </w:r>
    </w:p>
  </w:endnote>
  <w:endnote w:type="continuationSeparator" w:id="0">
    <w:p w14:paraId="5A272535" w14:textId="77777777" w:rsidR="001C0BF6" w:rsidRDefault="001C0BF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A385FA" w14:textId="77777777" w:rsidR="007D06E4" w:rsidRDefault="007D06E4">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697199" w14:textId="77777777" w:rsidR="002778DF" w:rsidRDefault="002778DF">
    <w:pPr>
      <w:jc w:val="both"/>
      <w:rPr>
        <w:rFonts w:ascii="Times New Roman" w:eastAsia="Times New Roman" w:hAnsi="Times New Roman" w:cs="Times New Roman"/>
        <w:sz w:val="20"/>
        <w:szCs w:val="20"/>
      </w:rPr>
    </w:pPr>
  </w:p>
  <w:p w14:paraId="4169719A" w14:textId="38D6ADF2" w:rsidR="002778DF" w:rsidRDefault="007D06E4">
    <w:pPr>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0B16A7">
      <w:rPr>
        <w:rFonts w:ascii="Times New Roman" w:eastAsia="Times New Roman" w:hAnsi="Times New Roman" w:cs="Times New Roman"/>
        <w:noProof/>
        <w:sz w:val="20"/>
        <w:szCs w:val="20"/>
      </w:rPr>
      <w:t>1</w:t>
    </w:r>
    <w:r>
      <w:rPr>
        <w:rFonts w:ascii="Times New Roman" w:eastAsia="Times New Roman" w:hAnsi="Times New Roman" w:cs="Times New Roman"/>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5E9162" w14:textId="77777777" w:rsidR="007D06E4" w:rsidRDefault="007D06E4">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259A51" w14:textId="77777777" w:rsidR="001C0BF6" w:rsidRDefault="001C0BF6">
      <w:pPr>
        <w:spacing w:line="240" w:lineRule="auto"/>
      </w:pPr>
      <w:r>
        <w:separator/>
      </w:r>
    </w:p>
  </w:footnote>
  <w:footnote w:type="continuationSeparator" w:id="0">
    <w:p w14:paraId="1BC17B71" w14:textId="77777777" w:rsidR="001C0BF6" w:rsidRDefault="001C0BF6">
      <w:pPr>
        <w:spacing w:line="240" w:lineRule="auto"/>
      </w:pPr>
      <w:r>
        <w:continuationSeparator/>
      </w:r>
    </w:p>
  </w:footnote>
  <w:footnote w:id="1">
    <w:p w14:paraId="4169719B" w14:textId="77777777" w:rsidR="002778DF" w:rsidRDefault="007D06E4">
      <w:pPr>
        <w:spacing w:line="240" w:lineRule="auto"/>
        <w:jc w:val="both"/>
        <w:rPr>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 xml:space="preserve">Lauria F., </w:t>
      </w:r>
      <w:r>
        <w:rPr>
          <w:rFonts w:ascii="Times New Roman" w:eastAsia="Times New Roman" w:hAnsi="Times New Roman" w:cs="Times New Roman"/>
          <w:i/>
          <w:sz w:val="20"/>
          <w:szCs w:val="20"/>
        </w:rPr>
        <w:t>L’acrobata. Il coordinatore pedagogico attraverso la lente del cinema</w:t>
      </w:r>
      <w:r>
        <w:rPr>
          <w:rFonts w:ascii="Times New Roman" w:eastAsia="Times New Roman" w:hAnsi="Times New Roman" w:cs="Times New Roman"/>
          <w:sz w:val="20"/>
          <w:szCs w:val="20"/>
        </w:rPr>
        <w:t>, Aracne, Ariccia (RM), 2014, pag. 140</w:t>
      </w:r>
    </w:p>
  </w:footnote>
  <w:footnote w:id="2">
    <w:p w14:paraId="4169719C" w14:textId="77777777" w:rsidR="002778DF" w:rsidRDefault="007D06E4">
      <w:pPr>
        <w:rPr>
          <w:rFonts w:ascii="Times New Roman" w:eastAsia="Times New Roman" w:hAnsi="Times New Roman" w:cs="Times New Roman"/>
          <w:sz w:val="18"/>
          <w:szCs w:val="18"/>
        </w:rPr>
      </w:pPr>
      <w:r>
        <w:rPr>
          <w:vertAlign w:val="superscript"/>
        </w:rPr>
        <w:footnoteRef/>
      </w:r>
      <w:r>
        <w:rPr>
          <w:rFonts w:ascii="Times New Roman" w:eastAsia="Times New Roman" w:hAnsi="Times New Roman" w:cs="Times New Roman"/>
          <w:sz w:val="18"/>
          <w:szCs w:val="18"/>
        </w:rPr>
        <w:t xml:space="preserve"> </w:t>
      </w:r>
      <w:hyperlink r:id="rId1">
        <w:r>
          <w:rPr>
            <w:rFonts w:ascii="Times New Roman" w:eastAsia="Times New Roman" w:hAnsi="Times New Roman" w:cs="Times New Roman"/>
            <w:sz w:val="18"/>
            <w:szCs w:val="18"/>
            <w:u w:val="single"/>
          </w:rPr>
          <w:t>https://fondazionepatriziopaoletti.org/glossario/pedagogia-per-il-terzo-millennio/</w:t>
        </w:r>
      </w:hyperlink>
      <w:r>
        <w:rPr>
          <w:rFonts w:ascii="Times New Roman" w:eastAsia="Times New Roman" w:hAnsi="Times New Roman" w:cs="Times New Roman"/>
          <w:sz w:val="18"/>
          <w:szCs w:val="18"/>
        </w:rPr>
        <w:t xml:space="preserve">Osservazione </w:t>
      </w:r>
    </w:p>
  </w:footnote>
  <w:footnote w:id="3">
    <w:p w14:paraId="7C1D135D" w14:textId="0DA6BC95" w:rsidR="007D06E4" w:rsidRPr="007D06E4" w:rsidRDefault="007D06E4" w:rsidP="007D06E4">
      <w:pPr>
        <w:spacing w:line="240" w:lineRule="auto"/>
        <w:jc w:val="both"/>
        <w:rPr>
          <w:rFonts w:ascii="Times New Roman" w:eastAsia="Times New Roman" w:hAnsi="Times New Roman" w:cs="Times New Roman"/>
          <w:sz w:val="20"/>
          <w:szCs w:val="20"/>
        </w:rPr>
      </w:pPr>
      <w:r w:rsidRPr="007D06E4">
        <w:rPr>
          <w:rStyle w:val="Rimandonotaapidipagina"/>
          <w:rFonts w:ascii="Times New Roman" w:hAnsi="Times New Roman" w:cs="Times New Roman"/>
          <w:sz w:val="20"/>
          <w:szCs w:val="20"/>
        </w:rPr>
        <w:footnoteRef/>
      </w:r>
      <w:r w:rsidRPr="007D06E4">
        <w:rPr>
          <w:rFonts w:ascii="Times New Roman" w:hAnsi="Times New Roman" w:cs="Times New Roman"/>
          <w:sz w:val="20"/>
          <w:szCs w:val="20"/>
        </w:rPr>
        <w:t xml:space="preserve"> </w:t>
      </w:r>
      <w:r w:rsidRPr="007D06E4">
        <w:rPr>
          <w:rFonts w:ascii="Times New Roman" w:eastAsia="Times New Roman" w:hAnsi="Times New Roman" w:cs="Times New Roman"/>
          <w:sz w:val="20"/>
          <w:szCs w:val="20"/>
        </w:rPr>
        <w:t>Formenti L. (a cura di) (2016), Re-inventare la famiglia. Guida teorico-pratica per i professionisti dell’educazione, ed. Maggioli, Santarcangelo di Romagna (RN)</w:t>
      </w:r>
    </w:p>
  </w:footnote>
  <w:footnote w:id="4">
    <w:p w14:paraId="4169719D" w14:textId="77777777" w:rsidR="002778DF" w:rsidRDefault="007D06E4" w:rsidP="007D06E4">
      <w:pPr>
        <w:spacing w:line="240" w:lineRule="auto"/>
        <w:jc w:val="both"/>
        <w:rPr>
          <w:rFonts w:ascii="Times New Roman" w:eastAsia="Times New Roman" w:hAnsi="Times New Roman" w:cs="Times New Roman"/>
          <w:sz w:val="20"/>
          <w:szCs w:val="20"/>
        </w:rPr>
      </w:pPr>
      <w:r w:rsidRPr="007D06E4">
        <w:rPr>
          <w:rFonts w:ascii="Times New Roman" w:hAnsi="Times New Roman" w:cs="Times New Roman"/>
          <w:sz w:val="20"/>
          <w:szCs w:val="20"/>
          <w:vertAlign w:val="superscript"/>
        </w:rPr>
        <w:footnoteRef/>
      </w:r>
      <w:r w:rsidRPr="007D06E4">
        <w:rPr>
          <w:rFonts w:ascii="Times New Roman" w:eastAsia="Times New Roman" w:hAnsi="Times New Roman" w:cs="Times New Roman"/>
          <w:sz w:val="20"/>
          <w:szCs w:val="20"/>
        </w:rPr>
        <w:t xml:space="preserve"> Sclavi M. (2003), </w:t>
      </w:r>
      <w:r w:rsidRPr="007D06E4">
        <w:rPr>
          <w:rFonts w:ascii="Times New Roman" w:eastAsia="Times New Roman" w:hAnsi="Times New Roman" w:cs="Times New Roman"/>
          <w:i/>
          <w:sz w:val="20"/>
          <w:szCs w:val="20"/>
        </w:rPr>
        <w:t>Arte di ascoltare e mondi possibili. Come si esce dalle cornici di cui siamo parte</w:t>
      </w:r>
      <w:r w:rsidRPr="007D06E4">
        <w:rPr>
          <w:rFonts w:ascii="Times New Roman" w:eastAsia="Times New Roman" w:hAnsi="Times New Roman" w:cs="Times New Roman"/>
          <w:sz w:val="20"/>
          <w:szCs w:val="20"/>
        </w:rPr>
        <w:t>, Milano, Bruno Mondadori, pag. 47</w:t>
      </w:r>
    </w:p>
  </w:footnote>
  <w:footnote w:id="5">
    <w:p w14:paraId="4169719E" w14:textId="77777777" w:rsidR="002778DF" w:rsidRDefault="007D06E4">
      <w:pPr>
        <w:spacing w:line="240" w:lineRule="auto"/>
        <w:jc w:val="both"/>
        <w:rPr>
          <w:sz w:val="20"/>
          <w:szCs w:val="20"/>
        </w:rPr>
      </w:pPr>
      <w:r>
        <w:rPr>
          <w:vertAlign w:val="superscript"/>
        </w:rPr>
        <w:footnoteRef/>
      </w:r>
      <w:r>
        <w:rPr>
          <w:sz w:val="20"/>
          <w:szCs w:val="20"/>
        </w:rPr>
        <w:t xml:space="preserve"> </w:t>
      </w:r>
      <w:r>
        <w:rPr>
          <w:rFonts w:ascii="Times New Roman" w:eastAsia="Times New Roman" w:hAnsi="Times New Roman" w:cs="Times New Roman"/>
          <w:sz w:val="20"/>
          <w:szCs w:val="20"/>
        </w:rPr>
        <w:t xml:space="preserve">Lauria F., </w:t>
      </w:r>
      <w:r>
        <w:rPr>
          <w:rFonts w:ascii="Times New Roman" w:eastAsia="Times New Roman" w:hAnsi="Times New Roman" w:cs="Times New Roman"/>
          <w:i/>
          <w:sz w:val="20"/>
          <w:szCs w:val="20"/>
        </w:rPr>
        <w:t>L’acrobata. Il coordinatore pedagogico attraverso la lente del cinema</w:t>
      </w:r>
      <w:r>
        <w:rPr>
          <w:rFonts w:ascii="Times New Roman" w:eastAsia="Times New Roman" w:hAnsi="Times New Roman" w:cs="Times New Roman"/>
          <w:sz w:val="20"/>
          <w:szCs w:val="20"/>
        </w:rPr>
        <w:t>, Aracne, Ariccia (RM), 2014, pag. 14</w:t>
      </w:r>
    </w:p>
  </w:footnote>
  <w:footnote w:id="6">
    <w:p w14:paraId="4169719F" w14:textId="77777777" w:rsidR="002778DF" w:rsidRDefault="007D06E4">
      <w:pPr>
        <w:jc w:val="both"/>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Premoli S. (a cura di), </w:t>
      </w:r>
      <w:r>
        <w:rPr>
          <w:rFonts w:ascii="Times New Roman" w:eastAsia="Times New Roman" w:hAnsi="Times New Roman" w:cs="Times New Roman"/>
          <w:i/>
          <w:sz w:val="20"/>
          <w:szCs w:val="20"/>
        </w:rPr>
        <w:t>Il coordinamento pedagogico nei servizi socioeducativi</w:t>
      </w:r>
      <w:r>
        <w:rPr>
          <w:rFonts w:ascii="Times New Roman" w:eastAsia="Times New Roman" w:hAnsi="Times New Roman" w:cs="Times New Roman"/>
          <w:sz w:val="20"/>
          <w:szCs w:val="20"/>
        </w:rPr>
        <w:t>, Franco Angeli, Milano, 2008, pag. 208</w:t>
      </w:r>
    </w:p>
  </w:footnote>
  <w:footnote w:id="7">
    <w:p w14:paraId="416971A0" w14:textId="77777777" w:rsidR="002778DF" w:rsidRDefault="007D06E4">
      <w:pPr>
        <w:jc w:val="both"/>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Lauria F., </w:t>
      </w:r>
      <w:r>
        <w:rPr>
          <w:rFonts w:ascii="Times New Roman" w:eastAsia="Times New Roman" w:hAnsi="Times New Roman" w:cs="Times New Roman"/>
          <w:i/>
          <w:sz w:val="20"/>
          <w:szCs w:val="20"/>
        </w:rPr>
        <w:t>L’acrobata. Il coordinatore pedagogico attraverso la lente del cinema</w:t>
      </w:r>
      <w:r>
        <w:rPr>
          <w:rFonts w:ascii="Times New Roman" w:eastAsia="Times New Roman" w:hAnsi="Times New Roman" w:cs="Times New Roman"/>
          <w:sz w:val="20"/>
          <w:szCs w:val="20"/>
        </w:rPr>
        <w:t>, Aracne, Ariccia (RM), 2014, pag. 92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597730" w14:textId="77777777" w:rsidR="007D06E4" w:rsidRDefault="007D06E4">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9CC02E" w14:textId="77777777" w:rsidR="007D06E4" w:rsidRDefault="007D06E4">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332382" w14:textId="77777777" w:rsidR="007D06E4" w:rsidRDefault="007D06E4">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262D3A"/>
    <w:multiLevelType w:val="multilevel"/>
    <w:tmpl w:val="786410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743044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8DF"/>
    <w:rsid w:val="000B16A7"/>
    <w:rsid w:val="001B10D4"/>
    <w:rsid w:val="001C0BF6"/>
    <w:rsid w:val="002778DF"/>
    <w:rsid w:val="002E5E0F"/>
    <w:rsid w:val="002F444F"/>
    <w:rsid w:val="00567BDE"/>
    <w:rsid w:val="0060779B"/>
    <w:rsid w:val="0067545C"/>
    <w:rsid w:val="007721FB"/>
    <w:rsid w:val="007D06E4"/>
    <w:rsid w:val="007D665F"/>
    <w:rsid w:val="008F0CD7"/>
    <w:rsid w:val="0090538E"/>
    <w:rsid w:val="00910A4E"/>
    <w:rsid w:val="009B2887"/>
    <w:rsid w:val="009C4CE8"/>
    <w:rsid w:val="00A54732"/>
    <w:rsid w:val="00AA11D1"/>
    <w:rsid w:val="00AA3D8F"/>
    <w:rsid w:val="00AF5440"/>
    <w:rsid w:val="00B7569C"/>
    <w:rsid w:val="00BE4C36"/>
    <w:rsid w:val="00C009A7"/>
    <w:rsid w:val="00C6468E"/>
    <w:rsid w:val="00C66F2C"/>
    <w:rsid w:val="00DD4CD9"/>
    <w:rsid w:val="00EA1B6F"/>
    <w:rsid w:val="00F475A9"/>
    <w:rsid w:val="00FC5F8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97125"/>
  <w15:docId w15:val="{D20CC01F-5F30-44A2-A5DF-AC7FFF7CF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00" w:after="120"/>
      <w:outlineLvl w:val="0"/>
    </w:pPr>
    <w:rPr>
      <w:sz w:val="40"/>
      <w:szCs w:val="40"/>
    </w:rPr>
  </w:style>
  <w:style w:type="paragraph" w:styleId="Titolo2">
    <w:name w:val="heading 2"/>
    <w:basedOn w:val="Normale"/>
    <w:next w:val="Normale"/>
    <w:uiPriority w:val="9"/>
    <w:semiHidden/>
    <w:unhideWhenUsed/>
    <w:qFormat/>
    <w:pPr>
      <w:keepNext/>
      <w:keepLines/>
      <w:spacing w:before="360" w:after="120"/>
      <w:outlineLvl w:val="1"/>
    </w:pPr>
    <w:rPr>
      <w:sz w:val="32"/>
      <w:szCs w:val="32"/>
    </w:rPr>
  </w:style>
  <w:style w:type="paragraph" w:styleId="Titolo3">
    <w:name w:val="heading 3"/>
    <w:basedOn w:val="Normale"/>
    <w:next w:val="Normale"/>
    <w:uiPriority w:val="9"/>
    <w:semiHidden/>
    <w:unhideWhenUsed/>
    <w:qFormat/>
    <w:pPr>
      <w:keepNext/>
      <w:keepLines/>
      <w:spacing w:before="320" w:after="80"/>
      <w:outlineLvl w:val="2"/>
    </w:pPr>
    <w:rPr>
      <w:color w:val="434343"/>
      <w:sz w:val="28"/>
      <w:szCs w:val="28"/>
    </w:rPr>
  </w:style>
  <w:style w:type="paragraph" w:styleId="Titolo4">
    <w:name w:val="heading 4"/>
    <w:basedOn w:val="Normale"/>
    <w:next w:val="Normale"/>
    <w:uiPriority w:val="9"/>
    <w:semiHidden/>
    <w:unhideWhenUsed/>
    <w:qFormat/>
    <w:pPr>
      <w:keepNext/>
      <w:keepLines/>
      <w:spacing w:before="280" w:after="80"/>
      <w:outlineLvl w:val="3"/>
    </w:pPr>
    <w:rPr>
      <w:color w:val="666666"/>
      <w:sz w:val="24"/>
      <w:szCs w:val="24"/>
    </w:rPr>
  </w:style>
  <w:style w:type="paragraph" w:styleId="Titolo5">
    <w:name w:val="heading 5"/>
    <w:basedOn w:val="Normale"/>
    <w:next w:val="Normale"/>
    <w:uiPriority w:val="9"/>
    <w:semiHidden/>
    <w:unhideWhenUsed/>
    <w:qFormat/>
    <w:pPr>
      <w:keepNext/>
      <w:keepLines/>
      <w:spacing w:before="240" w:after="80"/>
      <w:outlineLvl w:val="4"/>
    </w:pPr>
    <w:rPr>
      <w:color w:val="666666"/>
    </w:rPr>
  </w:style>
  <w:style w:type="paragraph" w:styleId="Titolo6">
    <w:name w:val="heading 6"/>
    <w:basedOn w:val="Normale"/>
    <w:next w:val="Normale"/>
    <w:uiPriority w:val="9"/>
    <w:semiHidden/>
    <w:unhideWhenUsed/>
    <w:qFormat/>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after="60"/>
    </w:pPr>
    <w:rPr>
      <w:sz w:val="52"/>
      <w:szCs w:val="52"/>
    </w:rPr>
  </w:style>
  <w:style w:type="paragraph" w:styleId="Sottotitolo">
    <w:name w:val="Subtitle"/>
    <w:basedOn w:val="Normale"/>
    <w:next w:val="Normale"/>
    <w:uiPriority w:val="11"/>
    <w:qFormat/>
    <w:pPr>
      <w:keepNext/>
      <w:keepLines/>
      <w:spacing w:after="320"/>
    </w:pPr>
    <w:rPr>
      <w:color w:val="666666"/>
      <w:sz w:val="30"/>
      <w:szCs w:val="30"/>
    </w:rPr>
  </w:style>
  <w:style w:type="paragraph" w:styleId="Testonotaapidipagina">
    <w:name w:val="footnote text"/>
    <w:basedOn w:val="Normale"/>
    <w:link w:val="TestonotaapidipaginaCarattere"/>
    <w:uiPriority w:val="99"/>
    <w:semiHidden/>
    <w:unhideWhenUsed/>
    <w:rsid w:val="007D06E4"/>
    <w:pPr>
      <w:spacing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7D06E4"/>
    <w:rPr>
      <w:sz w:val="20"/>
      <w:szCs w:val="20"/>
    </w:rPr>
  </w:style>
  <w:style w:type="character" w:styleId="Rimandonotaapidipagina">
    <w:name w:val="footnote reference"/>
    <w:basedOn w:val="Carpredefinitoparagrafo"/>
    <w:uiPriority w:val="99"/>
    <w:semiHidden/>
    <w:unhideWhenUsed/>
    <w:rsid w:val="007D06E4"/>
    <w:rPr>
      <w:vertAlign w:val="superscript"/>
    </w:rPr>
  </w:style>
  <w:style w:type="paragraph" w:styleId="Intestazione">
    <w:name w:val="header"/>
    <w:basedOn w:val="Normale"/>
    <w:link w:val="IntestazioneCarattere"/>
    <w:uiPriority w:val="99"/>
    <w:unhideWhenUsed/>
    <w:rsid w:val="007D06E4"/>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7D06E4"/>
  </w:style>
  <w:style w:type="paragraph" w:styleId="Pidipagina">
    <w:name w:val="footer"/>
    <w:basedOn w:val="Normale"/>
    <w:link w:val="PidipaginaCarattere"/>
    <w:uiPriority w:val="99"/>
    <w:unhideWhenUsed/>
    <w:rsid w:val="007D06E4"/>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7D06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fondazionepatriziopaoletti.org/glossario/autoefficacia/"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fondazionepatriziopaoletti.org/glossario/autostima/"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fondazionepatriziopaoletti.org/glossario/pedagogia-per-il-terzo-millennio"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ondazionepatriziopaoletti.org/glossario/motivazion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youtube.com/watch?v=IGQmdoK_ZfY" TargetMode="External"/><Relationship Id="rId23" Type="http://schemas.openxmlformats.org/officeDocument/2006/relationships/fontTable" Target="fontTable.xml"/><Relationship Id="rId10" Type="http://schemas.openxmlformats.org/officeDocument/2006/relationships/hyperlink" Target="https://fondazionepatriziopaoletti.org/glossario/attenzione/"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fondazionepatriziopaoletti.org/blog/educazione/amicizia-e-collettivita/" TargetMode="External"/><Relationship Id="rId14" Type="http://schemas.openxmlformats.org/officeDocument/2006/relationships/hyperlink" Target="https://fondazionepatriziopaoletti.org/glossario/interocezione/" TargetMode="External"/><Relationship Id="rId22"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fondazionepatriziopaoletti.org/glossario/pedagogia-per-il-terzo-millenni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47D8CB-EABF-4E09-9609-BCF2095BA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10</Pages>
  <Words>3077</Words>
  <Characters>17543</Characters>
  <Application>Microsoft Office Word</Application>
  <DocSecurity>0</DocSecurity>
  <Lines>146</Lines>
  <Paragraphs>41</Paragraphs>
  <ScaleCrop>false</ScaleCrop>
  <Company/>
  <LinksUpToDate>false</LinksUpToDate>
  <CharactersWithSpaces>20579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Maila Celotto</dc:creator>
  <cp:lastModifiedBy>Paola Eginardo</cp:lastModifiedBy>
  <cp:revision>8</cp:revision>
  <cp:lastPrinted>2024-12-22T11:59:00Z</cp:lastPrinted>
  <dcterms:created xsi:type="dcterms:W3CDTF">2024-12-30T16:09:00Z</dcterms:created>
  <dcterms:modified xsi:type="dcterms:W3CDTF">2024-12-30T16:45:00Z</dcterms:modified>
</cp:coreProperties>
</file>