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CCAC76" w14:textId="77777777" w:rsidR="00344344" w:rsidRDefault="00000000">
      <w:pPr>
        <w:spacing w:after="0" w:line="240" w:lineRule="auto"/>
        <w:ind w:firstLine="142"/>
        <w:rPr>
          <w:rFonts w:ascii="Times New Roman" w:eastAsia="Times New Roman" w:hAnsi="Times New Roman" w:cs="Times New Roman"/>
          <w:sz w:val="32"/>
          <w:szCs w:val="32"/>
        </w:rPr>
      </w:pPr>
      <w:r>
        <w:rPr>
          <w:rFonts w:ascii="Calibri" w:eastAsia="Calibri" w:hAnsi="Calibri" w:cs="Calibri"/>
          <w:noProof/>
          <w:sz w:val="32"/>
          <w:szCs w:val="32"/>
        </w:rPr>
        <w:drawing>
          <wp:inline distT="0" distB="0" distL="0" distR="0" wp14:anchorId="5CE4BC46" wp14:editId="4E17C3B6">
            <wp:extent cx="1590675" cy="1562100"/>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590675" cy="1562100"/>
                    </a:xfrm>
                    <a:prstGeom prst="rect">
                      <a:avLst/>
                    </a:prstGeom>
                    <a:ln/>
                  </pic:spPr>
                </pic:pic>
              </a:graphicData>
            </a:graphic>
          </wp:inline>
        </w:drawing>
      </w:r>
      <w:r>
        <w:rPr>
          <w:rFonts w:ascii="Calibri" w:eastAsia="Calibri" w:hAnsi="Calibri" w:cs="Calibri"/>
          <w:sz w:val="32"/>
          <w:szCs w:val="32"/>
        </w:rPr>
        <w:tab/>
      </w:r>
      <w:r>
        <w:rPr>
          <w:rFonts w:ascii="Times New Roman" w:eastAsia="Times New Roman" w:hAnsi="Times New Roman" w:cs="Times New Roman"/>
          <w:sz w:val="32"/>
          <w:szCs w:val="32"/>
        </w:rPr>
        <w:t xml:space="preserve">Tirocinio Formativo e di Orientamento </w:t>
      </w:r>
    </w:p>
    <w:p w14:paraId="6400FE56" w14:textId="77777777" w:rsidR="00344344" w:rsidRDefault="00000000">
      <w:pPr>
        <w:spacing w:after="0" w:line="240" w:lineRule="auto"/>
        <w:ind w:left="2832"/>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152A106C" w14:textId="77777777" w:rsidR="00344344" w:rsidRDefault="00000000">
      <w:pPr>
        <w:spacing w:after="0" w:line="240" w:lineRule="auto"/>
        <w:ind w:left="2694"/>
        <w:rPr>
          <w:rFonts w:ascii="Times New Roman" w:eastAsia="Times New Roman" w:hAnsi="Times New Roman" w:cs="Times New Roman"/>
          <w:i/>
        </w:rPr>
      </w:pPr>
      <w:r>
        <w:rPr>
          <w:rFonts w:ascii="Times New Roman" w:eastAsia="Times New Roman" w:hAnsi="Times New Roman" w:cs="Times New Roman"/>
          <w:i/>
        </w:rPr>
        <w:t>Dipartimento di Scienze Umane per la Formazione “Riccardo Massa”</w:t>
      </w:r>
    </w:p>
    <w:p w14:paraId="09C4B749" w14:textId="77777777" w:rsidR="00344344" w:rsidRDefault="00000000">
      <w:pPr>
        <w:widowControl w:val="0"/>
        <w:spacing w:after="0" w:line="240" w:lineRule="auto"/>
        <w:ind w:left="2694"/>
        <w:jc w:val="both"/>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5AB819E6" w14:textId="77777777" w:rsidR="00344344" w:rsidRDefault="00344344">
      <w:pPr>
        <w:widowControl w:val="0"/>
        <w:spacing w:after="0" w:line="240" w:lineRule="auto"/>
        <w:ind w:left="2694"/>
        <w:jc w:val="both"/>
        <w:rPr>
          <w:rFonts w:ascii="Times New Roman" w:eastAsia="Times New Roman" w:hAnsi="Times New Roman" w:cs="Times New Roman"/>
          <w:i/>
        </w:rPr>
      </w:pPr>
    </w:p>
    <w:p w14:paraId="63C6771A" w14:textId="77777777" w:rsidR="00344344" w:rsidRDefault="00344344">
      <w:pPr>
        <w:widowControl w:val="0"/>
        <w:spacing w:after="0" w:line="240" w:lineRule="auto"/>
        <w:ind w:left="2694"/>
        <w:jc w:val="both"/>
        <w:rPr>
          <w:rFonts w:ascii="Times New Roman" w:eastAsia="Times New Roman" w:hAnsi="Times New Roman" w:cs="Times New Roman"/>
          <w:i/>
        </w:rPr>
      </w:pPr>
    </w:p>
    <w:p w14:paraId="4FD40586" w14:textId="77777777" w:rsidR="00344344" w:rsidRDefault="00344344">
      <w:pPr>
        <w:widowControl w:val="0"/>
        <w:spacing w:after="0" w:line="240" w:lineRule="auto"/>
        <w:ind w:left="2694"/>
        <w:jc w:val="both"/>
        <w:rPr>
          <w:rFonts w:ascii="Times New Roman" w:eastAsia="Times New Roman" w:hAnsi="Times New Roman" w:cs="Times New Roman"/>
          <w:i/>
        </w:rPr>
      </w:pPr>
    </w:p>
    <w:p w14:paraId="13E4C0CC" w14:textId="77777777" w:rsidR="00344344" w:rsidRDefault="00000000">
      <w:pPr>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49C500CA" w14:textId="77777777" w:rsidR="00344344" w:rsidRDefault="00344344">
      <w:pPr>
        <w:widowControl w:val="0"/>
        <w:spacing w:after="0" w:line="240" w:lineRule="auto"/>
        <w:jc w:val="center"/>
        <w:rPr>
          <w:rFonts w:ascii="Times New Roman" w:eastAsia="Times New Roman" w:hAnsi="Times New Roman" w:cs="Times New Roman"/>
          <w:b/>
          <w:sz w:val="24"/>
          <w:szCs w:val="24"/>
        </w:rPr>
      </w:pPr>
    </w:p>
    <w:p w14:paraId="25BC2571" w14:textId="77777777" w:rsidR="00344344" w:rsidRDefault="00000000">
      <w:pPr>
        <w:widowControl w:val="0"/>
        <w:spacing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Giudizio o valutazione? Il lavoro con famiglie in situazione di vulnerabilità</w:t>
      </w:r>
    </w:p>
    <w:p w14:paraId="3DF534A5" w14:textId="77777777" w:rsidR="00344344" w:rsidRDefault="00344344">
      <w:pPr>
        <w:widowControl w:val="0"/>
        <w:spacing w:after="0" w:line="240" w:lineRule="auto"/>
        <w:jc w:val="center"/>
        <w:rPr>
          <w:rFonts w:ascii="Times New Roman" w:eastAsia="Times New Roman" w:hAnsi="Times New Roman" w:cs="Times New Roman"/>
          <w:b/>
          <w:i/>
          <w:sz w:val="28"/>
          <w:szCs w:val="28"/>
        </w:rPr>
      </w:pPr>
    </w:p>
    <w:p w14:paraId="02F17A8F" w14:textId="77777777" w:rsidR="00344344" w:rsidRDefault="00000000">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19/11/2024, Pioltello</w:t>
      </w:r>
    </w:p>
    <w:p w14:paraId="04F7608C" w14:textId="77777777" w:rsidR="00344344" w:rsidRDefault="00344344">
      <w:pPr>
        <w:widowControl w:val="0"/>
        <w:spacing w:after="0" w:line="240" w:lineRule="auto"/>
        <w:ind w:left="2694"/>
        <w:jc w:val="both"/>
        <w:rPr>
          <w:rFonts w:ascii="Times New Roman" w:eastAsia="Times New Roman" w:hAnsi="Times New Roman" w:cs="Times New Roman"/>
          <w:i/>
        </w:rPr>
      </w:pPr>
    </w:p>
    <w:p w14:paraId="213F8EDD" w14:textId="77777777" w:rsidR="00344344" w:rsidRDefault="00344344">
      <w:pPr>
        <w:widowControl w:val="0"/>
        <w:spacing w:after="0" w:line="240" w:lineRule="auto"/>
        <w:rPr>
          <w:rFonts w:ascii="Times New Roman" w:eastAsia="Times New Roman" w:hAnsi="Times New Roman" w:cs="Times New Roman"/>
          <w:i/>
        </w:rPr>
      </w:pPr>
    </w:p>
    <w:p w14:paraId="1E588101" w14:textId="77777777" w:rsidR="00344344" w:rsidRDefault="00344344">
      <w:pPr>
        <w:widowControl w:val="0"/>
        <w:spacing w:after="0" w:line="240" w:lineRule="auto"/>
        <w:rPr>
          <w:rFonts w:ascii="Times New Roman" w:eastAsia="Times New Roman" w:hAnsi="Times New Roman" w:cs="Times New Roman"/>
          <w:i/>
        </w:rPr>
      </w:pPr>
    </w:p>
    <w:p w14:paraId="4459CDF4" w14:textId="77777777" w:rsidR="00344344" w:rsidRDefault="00344344">
      <w:pPr>
        <w:widowControl w:val="0"/>
        <w:spacing w:after="0" w:line="240" w:lineRule="auto"/>
        <w:rPr>
          <w:rFonts w:ascii="Times New Roman" w:eastAsia="Times New Roman" w:hAnsi="Times New Roman" w:cs="Times New Roman"/>
          <w:i/>
        </w:rPr>
      </w:pPr>
    </w:p>
    <w:p w14:paraId="443EEFE1" w14:textId="77777777" w:rsidR="00344344" w:rsidRDefault="00344344">
      <w:pPr>
        <w:widowControl w:val="0"/>
        <w:spacing w:after="0" w:line="240" w:lineRule="auto"/>
        <w:rPr>
          <w:rFonts w:ascii="Times New Roman" w:eastAsia="Times New Roman" w:hAnsi="Times New Roman" w:cs="Times New Roman"/>
          <w:i/>
        </w:rPr>
      </w:pPr>
    </w:p>
    <w:p w14:paraId="3D8571FD"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Conduttrice</w:t>
      </w:r>
    </w:p>
    <w:p w14:paraId="4372DC4A"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Dott.ssa Daniela Moles, </w:t>
      </w:r>
    </w:p>
    <w:p w14:paraId="2879D382"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Arti &amp; Mestieri Sociali, Libera Compagnia </w:t>
      </w:r>
      <w:proofErr w:type="spellStart"/>
      <w:r>
        <w:rPr>
          <w:rFonts w:ascii="Times New Roman" w:eastAsia="Times New Roman" w:hAnsi="Times New Roman" w:cs="Times New Roman"/>
          <w:sz w:val="24"/>
          <w:szCs w:val="24"/>
        </w:rPr>
        <w:t>Soc</w:t>
      </w:r>
      <w:proofErr w:type="spellEnd"/>
      <w:r>
        <w:rPr>
          <w:rFonts w:ascii="Times New Roman" w:eastAsia="Times New Roman" w:hAnsi="Times New Roman" w:cs="Times New Roman"/>
          <w:sz w:val="24"/>
          <w:szCs w:val="24"/>
        </w:rPr>
        <w:t>. Coop.</w:t>
      </w:r>
    </w:p>
    <w:p w14:paraId="64B3E6C9" w14:textId="77777777" w:rsidR="00344344" w:rsidRDefault="00344344">
      <w:pPr>
        <w:widowControl w:val="0"/>
        <w:spacing w:after="0" w:line="240" w:lineRule="auto"/>
        <w:rPr>
          <w:rFonts w:ascii="Times New Roman" w:eastAsia="Times New Roman" w:hAnsi="Times New Roman" w:cs="Times New Roman"/>
          <w:i/>
          <w:sz w:val="24"/>
          <w:szCs w:val="24"/>
        </w:rPr>
      </w:pPr>
    </w:p>
    <w:p w14:paraId="64A98E93" w14:textId="77777777" w:rsidR="00344344" w:rsidRDefault="00344344">
      <w:pPr>
        <w:widowControl w:val="0"/>
        <w:spacing w:after="0" w:line="240" w:lineRule="auto"/>
        <w:rPr>
          <w:rFonts w:ascii="Times New Roman" w:eastAsia="Times New Roman" w:hAnsi="Times New Roman" w:cs="Times New Roman"/>
          <w:i/>
          <w:sz w:val="24"/>
          <w:szCs w:val="24"/>
        </w:rPr>
      </w:pPr>
    </w:p>
    <w:p w14:paraId="57CF8A46" w14:textId="77777777" w:rsidR="00344344" w:rsidRDefault="00344344">
      <w:pPr>
        <w:widowControl w:val="0"/>
        <w:spacing w:after="0" w:line="240" w:lineRule="auto"/>
        <w:rPr>
          <w:rFonts w:ascii="Times New Roman" w:eastAsia="Times New Roman" w:hAnsi="Times New Roman" w:cs="Times New Roman"/>
          <w:i/>
          <w:sz w:val="24"/>
          <w:szCs w:val="24"/>
        </w:rPr>
      </w:pPr>
    </w:p>
    <w:p w14:paraId="4FF87659" w14:textId="77777777" w:rsidR="00344344" w:rsidRDefault="00000000">
      <w:pPr>
        <w:widowControl w:val="0"/>
        <w:spacing w:after="0" w:line="276"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09E102C9"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Barbara </w:t>
      </w:r>
      <w:proofErr w:type="spellStart"/>
      <w:r>
        <w:rPr>
          <w:rFonts w:ascii="Times New Roman" w:eastAsia="Times New Roman" w:hAnsi="Times New Roman" w:cs="Times New Roman"/>
          <w:sz w:val="24"/>
          <w:szCs w:val="24"/>
        </w:rPr>
        <w:t>Bironi</w:t>
      </w:r>
      <w:proofErr w:type="spellEnd"/>
    </w:p>
    <w:p w14:paraId="18349351"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Margherita </w:t>
      </w:r>
      <w:proofErr w:type="spellStart"/>
      <w:r>
        <w:rPr>
          <w:rFonts w:ascii="Times New Roman" w:eastAsia="Times New Roman" w:hAnsi="Times New Roman" w:cs="Times New Roman"/>
          <w:sz w:val="24"/>
          <w:szCs w:val="24"/>
        </w:rPr>
        <w:t>Fasola</w:t>
      </w:r>
      <w:proofErr w:type="spellEnd"/>
    </w:p>
    <w:p w14:paraId="34044A0A" w14:textId="77777777" w:rsidR="00344344" w:rsidRDefault="00000000">
      <w:pPr>
        <w:widowControl w:val="0"/>
        <w:spacing w:after="0" w:line="276"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Olenka</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Brillith</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Laina</w:t>
      </w:r>
      <w:proofErr w:type="spellEnd"/>
      <w:r>
        <w:rPr>
          <w:rFonts w:ascii="Times New Roman" w:eastAsia="Times New Roman" w:hAnsi="Times New Roman" w:cs="Times New Roman"/>
          <w:sz w:val="24"/>
          <w:szCs w:val="24"/>
        </w:rPr>
        <w:t xml:space="preserve"> Mora </w:t>
      </w:r>
    </w:p>
    <w:p w14:paraId="239943A4"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Monica Marletta</w:t>
      </w:r>
    </w:p>
    <w:p w14:paraId="49C4B488"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Giulia Mauri</w:t>
      </w:r>
    </w:p>
    <w:p w14:paraId="1A4EA9F6"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Silvana Mela</w:t>
      </w:r>
    </w:p>
    <w:p w14:paraId="56DB1310"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Giorgia Merafina</w:t>
      </w:r>
    </w:p>
    <w:p w14:paraId="2D773EB4" w14:textId="77777777" w:rsidR="00344344"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Francesco Rosa</w:t>
      </w:r>
    </w:p>
    <w:p w14:paraId="52AD5CD3" w14:textId="77777777" w:rsidR="00344344" w:rsidRDefault="00344344">
      <w:pPr>
        <w:rPr>
          <w:rFonts w:ascii="Times New Roman" w:eastAsia="Times New Roman" w:hAnsi="Times New Roman" w:cs="Times New Roman"/>
          <w:sz w:val="24"/>
          <w:szCs w:val="24"/>
        </w:rPr>
      </w:pPr>
    </w:p>
    <w:p w14:paraId="5FCEF7E5" w14:textId="77777777" w:rsidR="00344344" w:rsidRDefault="00000000">
      <w:pPr>
        <w:rPr>
          <w:rFonts w:ascii="Times New Roman" w:eastAsia="Times New Roman" w:hAnsi="Times New Roman" w:cs="Times New Roman"/>
          <w:sz w:val="24"/>
          <w:szCs w:val="24"/>
        </w:rPr>
      </w:pPr>
      <w:r>
        <w:br w:type="page"/>
      </w:r>
    </w:p>
    <w:p w14:paraId="220905F4"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Durante la giornata del 19 </w:t>
      </w:r>
      <w:proofErr w:type="gramStart"/>
      <w:r>
        <w:rPr>
          <w:rFonts w:ascii="Times New Roman" w:eastAsia="Times New Roman" w:hAnsi="Times New Roman" w:cs="Times New Roman"/>
          <w:color w:val="000000"/>
          <w:sz w:val="24"/>
          <w:szCs w:val="24"/>
        </w:rPr>
        <w:t>Novembre</w:t>
      </w:r>
      <w:proofErr w:type="gramEnd"/>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 xml:space="preserve"> presso il Centro di Aggregazione Giovanile (CAG) di Pioltello, si è svolto il workshop condotto dalla dott.ssa Daniela Moles, dal titolo “Giudizio o valutazione? Il lavoro con famiglie in situazione di vulnerabilità". </w:t>
      </w:r>
    </w:p>
    <w:p w14:paraId="4F361B7C" w14:textId="7D627DD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Siamo partiti da una conoscenza reciproca, dividendoci a coppie e presentandosi vicendevolmente, raccontando il motivo per il quale abbiamo intrapreso questo percorso universitario e cosa vorremmo fare alla fine della formazione accademica. </w:t>
      </w:r>
      <w:r w:rsidR="008B3CAE">
        <w:rPr>
          <w:rFonts w:ascii="Times New Roman" w:eastAsia="Times New Roman" w:hAnsi="Times New Roman" w:cs="Times New Roman"/>
          <w:color w:val="000000"/>
          <w:sz w:val="24"/>
          <w:szCs w:val="24"/>
        </w:rPr>
        <w:t>In seguito,</w:t>
      </w:r>
      <w:r>
        <w:rPr>
          <w:rFonts w:ascii="Times New Roman" w:eastAsia="Times New Roman" w:hAnsi="Times New Roman" w:cs="Times New Roman"/>
          <w:color w:val="000000"/>
          <w:sz w:val="24"/>
          <w:szCs w:val="24"/>
        </w:rPr>
        <w:t xml:space="preserve"> un membro della coppia dava voce alla presentazione dell’altro, riportandola al gruppo. Questa attivazione è stata utile e interessante sia per creare e rafforzare il legame all’interno del gruppo, sia per osservare come gli altri riportavano le storie altrui, rimanendo quanto più oggettivi alla narrazione, ma anche provando ad immedesimarsi nel compagno.</w:t>
      </w:r>
    </w:p>
    <w:p w14:paraId="69C94693"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 conduttrice ha iniziato con una presentazione di slide, nelle quali venivano messi in luce i concetti chiave, riguardanti l’argomento del workshop. </w:t>
      </w:r>
    </w:p>
    <w:p w14:paraId="69A57022"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Come prima cosa ha mostrato un’immagine, chiedendo di osservarla.</w:t>
      </w:r>
    </w:p>
    <w:p w14:paraId="0ACBB66D"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114300" distB="114300" distL="114300" distR="114300" wp14:anchorId="00BC07BF" wp14:editId="4881C9B5">
            <wp:extent cx="5731200" cy="3149600"/>
            <wp:effectExtent l="0" t="0" r="0" b="0"/>
            <wp:docPr id="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a:stretch>
                      <a:fillRect/>
                    </a:stretch>
                  </pic:blipFill>
                  <pic:spPr>
                    <a:xfrm>
                      <a:off x="0" y="0"/>
                      <a:ext cx="5731200" cy="3149600"/>
                    </a:xfrm>
                    <a:prstGeom prst="rect">
                      <a:avLst/>
                    </a:prstGeom>
                    <a:ln/>
                  </pic:spPr>
                </pic:pic>
              </a:graphicData>
            </a:graphic>
          </wp:inline>
        </w:drawing>
      </w:r>
    </w:p>
    <w:p w14:paraId="4422208E"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Dopo aver mostrato questa fotografia per pochi secondi, la conduttrice ha chiesto a ciascun partecipante cosa avesse visto. Le risposte sono state variegate: alcuni hanno descritto un fascio di luce, altri hanno parlato di polvere o di neve, mentre altri ancora hanno visto un cassetto di legno sul quale erano posizionate delle macchinine e dei giocattoli. In seguito, l'immagine è stata mostrata una seconda volta, per permetterci di osservare con maggiore attenzione e di cogliere dettagli che potrebbero esserci sfuggiti inizialmente. Questo esercizio ha avuto l'obiettivo di farci riflettere su come un primo sguardo a una situazione o a un'immagine possa essere limitato e non del tutto esaustivo. Infatti, è emerso chiaramente che a seconda del punto di vista, le percezioni possono </w:t>
      </w:r>
      <w:r>
        <w:rPr>
          <w:rFonts w:ascii="Times New Roman" w:eastAsia="Times New Roman" w:hAnsi="Times New Roman" w:cs="Times New Roman"/>
          <w:color w:val="000000"/>
          <w:sz w:val="24"/>
          <w:szCs w:val="24"/>
        </w:rPr>
        <w:lastRenderedPageBreak/>
        <w:t>differire notevolmente. Tale esperienza è stata funzionale a riflettere sul fatto che, per comprendere appieno un fenomeno, può essere necessario soffermarsi più a lungo, esaminando vari aspetti e interpretazioni. In sostanza, l'esercizio ha dimostrato come la visione iniziale non sempre restituisca una lettura completa e che la riflessione approfondita e l'analisi dei dettagli siano fondamentali per arrivare a una comprensione più precisa e sfaccettata della realtà. Quindi lo sguardo di più persone, all’interno di un’équipe, è essenziale per unire quanto osservato da ciascuno.</w:t>
      </w:r>
    </w:p>
    <w:p w14:paraId="6C47C0D3"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Nel corso dell'incontro, la conduttrice ha approfondito, attraverso l'ausilio delle slide, il concetto di famiglie in situazione di vulnerabilità, un tema di rilevante importanza per comprendere la complessità delle dinamiche familiari in contesti di difficoltà. Non è corretto limitarsi a identificare come vulnerabili solo le famiglie che presentano segnali visibili di disagio. Esiste infatti una categoria di famiglie che si trovano in situazioni di vulnerabilità più difficili da individuare, definite come “famiglie impolverate”. Questo termine suggerisce l'idea che tali situazioni siano talmente radicate e invisibili da sembrare “ricoperte di polvere”, rendendo difficile riconoscerle a occhio nudo. Tuttavia, per comprendere realmente il loro stato, è necessario "spazzare via la polvere", ossia analizzare con maggiore attenzione i fattori che determinano le difficoltà. Strettamente connessa al concetto di vulnerabilità è stato presentato il costrutto di negligenza che rappresenta la carenza nella capacità di rispondere adeguatamente alle necessità psicologiche, emotive e fisiche dei bambini. Dietro questa fatica di comprendere i bisogni vi è spesso una perturbazione, intesa come un fattore di caos o scompiglio che disturba l'equilibrio familiare, impedendo ai genitori di rispondere ai bisogni evolutivi del figlio.</w:t>
      </w:r>
    </w:p>
    <w:p w14:paraId="17BD454F" w14:textId="4EC46914"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Il ruolo della genitorialità e della famiglia è da sempre oggetto di studio e riflessione, in particolare nel contesto delle società contemporanee, dove le aspettative nei confronti dei genitori sono variegate e mutevoli, e a tratti elevate. I genitori vengono ritenuti i soli responsabili del benessere dei propri figli. Questa concezione, tuttavia, oscura il ruolo del contesto sociale e culturale (L.</w:t>
      </w:r>
      <w:r w:rsidR="00756D81">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Formenti, 2019). Definire incompetenti alcuni genitori è infatti un’operazione rischiosa e riduttiva, che ignora la complessità delle situazioni in cui si trovano ad operare. La famiglia, infatti, non opera in un vuoto sociale. Il modello sistemico riconosce proprio che la famiglia non è un’unità isolata, ma piuttosto un sistema in continua interazione con l’ambiente sociale, economico e culturale che la circonda. È in questo contesto che vanno comprese le difficoltà genitoriali.</w:t>
      </w:r>
    </w:p>
    <w:p w14:paraId="5318957B"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Ad esempio, situazioni di stress economico, emarginazione sociale o difficoltà lavorative possono incidere profondamente sulle dinamiche familiari, rendendo molto più difficile per i genitori esercitare il loro ruolo in modo efficace. Formenti sottolinea che una lettura critica della negligenza genitoriale non dovrebbe concentrarsi unicamente sui comportamenti dei genitori, ma piuttosto </w:t>
      </w:r>
      <w:r>
        <w:rPr>
          <w:rFonts w:ascii="Times New Roman" w:eastAsia="Times New Roman" w:hAnsi="Times New Roman" w:cs="Times New Roman"/>
          <w:color w:val="000000"/>
          <w:sz w:val="24"/>
          <w:szCs w:val="24"/>
        </w:rPr>
        <w:lastRenderedPageBreak/>
        <w:t>includere un’analisi del contesto che può influenzare tali comportamenti. Questa prospettiva aiuta a superare l’idea di una genitorialità "incompetente" e apre la strada a una comprensione più sfumata e dinamica delle difficoltà che le famiglie affrontano. Definire i genitori "incompetenti" è un'operazione che semplifica eccessivamente la complessità delle sfide familiari. Le riflessioni di Laura Formenti ci invitano a considerare il ruolo della famiglia e della genitorialità in modo critico, tenendo conto delle pressioni sociali, culturali ed economiche che incidono sul loro funzionamento. Piuttosto che puntare il dito contro i genitori, dovremmo promuovere una lettura sistemica che riconosca le difficoltà del contesto e valorizzi la competenza insita nell'esperienza quotidiana dei genitori. Solo così possiamo sviluppare un approccio più comprensivo e funzionale nei confronti delle famiglie, evitando di attribuire loro la totalità delle responsabilità e promuovendo, invece, un sostegno più articolato e realistico.</w:t>
      </w:r>
    </w:p>
    <w:p w14:paraId="712B68D8"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Durante l’incontro abbiamo visto uno spezzone del film “Anche libero va bene”, nel quale veniva mostrato il momento della colazione di una famiglia in una situazione di vulnerabilità: il padre sveglia i figli per coinvolgerli in una scelta importante. Ormai esasperato dai continui tradimenti e abbandoni da parte della moglie, chiede ai figli se sono disposti ad accettare nuovamente la madre in casa, sostenendo che oramai sono abbastanza grandi da essere coinvolti in questa decisione. </w:t>
      </w:r>
    </w:p>
    <w:p w14:paraId="29622C84"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Nella scena la madre, piangendo mortificata, implora i propri figli, affinché riconoscano il suo ruolo di mamma. Nella scena finale la figlia la abbraccia e le due escono dalla stanza, mentre il figlio sconsolato commenta, insieme al padre: “Tanto andrà via un’altra volta”.</w:t>
      </w:r>
    </w:p>
    <w:p w14:paraId="36529C25"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 termine della visione dello spezzone, è stato chiesto ai partecipanti di esprimere le proprie impressioni e opinioni. Alcuni hanno interpretato il comportamento del padre come uno sfogo, una reazione di chi si trova esausto e non sa più come far comprendere alla moglie le conseguenze delle sue azioni sul benessere della famiglia. In questo contesto, il padre ha coinvolto i figli, chiedendo loro di esprimere la propria opinione riguardo alla possibilità di riaccogliere la madre in casa. L'intento era far sì che fossero i figli a parlare, in modo che la madre ascoltasse direttamente il loro punto di vista. Questo approccio, secondo alcuni, dava ai figli l'opportunità di essere partecipi della situazione che li riguardava, facendo emergere la loro capacità di riflessione e di espressione. Altri, tuttavia, hanno espresso un giudizio negativo nei confronti della madre, considerandola debole e incapace di gestire adeguatamente la famiglia. Inoltre, hanno ritenuto inappropriato che il padre coinvolgesse i figli in una questione così delicata, giudicando ancora troppo immaturi per portare il peso di una decisione così importante. In questa visione, il coinvolgimento dei bambini è stato percepito come un ulteriore elemento di disfunzione, in quanto non erano considerati in grado di affrontare la complessità della situazione familiare.</w:t>
      </w:r>
    </w:p>
    <w:p w14:paraId="1A3D0944" w14:textId="77777777" w:rsidR="00344344" w:rsidRDefault="00000000">
      <w:pPr>
        <w:pBdr>
          <w:top w:val="nil"/>
          <w:left w:val="nil"/>
          <w:bottom w:val="nil"/>
          <w:right w:val="nil"/>
          <w:between w:val="nil"/>
        </w:pBdr>
        <w:spacing w:before="240"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A partire da queste riflessioni, la dottoressa Moles ha avviato una discussione sulla differenza tra giudizio e valutazione. Abbiamo esaminato insieme come il giudizio sia un atto istintivo e personale, che tende a focalizzarsi sulla persona, spesso in modo superficiale e rapido. Il giudizio è intrinseco alla nostra natura e, pertanto, dobbiamo essere consapevoli della sua influenza nelle nostre percezioni e interazioni. Al contrario, la valutazione è un processo più articolato e riflessivo, che tiene conto delle opinioni di ciascuno, ma che va oltre il giudizio individuale, considerando il contesto in cui si inserisce la situazione. Si tratta di un approccio sistemico che valuta l'insieme degli aspetti rilevanti, piuttosto che ridurre il fenomeno a una visione parziale. In altre parole, il giudizio rappresenta una pratica lineare e binaria, spesso finalizzata a etichettare o classificare, mentre la valutazione si configura come una pratica riflessiva e divergente, in grado di prendere in considerazione molteplici sfaccettature. Il giudizio, inoltre, tende a comportare l'attribuzione di colpe, che possono risultare emotivamente devastanti per chi le riceve. La valutazione, invece, si caratterizza come un atto di responsabilità, volto a comprendere l'errore in una prospettiva che guarda al futuro, favorendo la crescita e l'apprendimento. In questo senso, la valutazione agisce non solo sul piano emotivo, ma anche su quello cognitivo, promuovendo un processo di consapevolezza e cambiamento. </w:t>
      </w:r>
    </w:p>
    <w:p w14:paraId="329936AB" w14:textId="77777777" w:rsidR="00344344" w:rsidRDefault="00000000">
      <w:pPr>
        <w:pBdr>
          <w:top w:val="nil"/>
          <w:left w:val="nil"/>
          <w:bottom w:val="nil"/>
          <w:right w:val="nil"/>
          <w:between w:val="nil"/>
        </w:pBdr>
        <w:spacing w:before="240"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La Dottoressa Moles ha poi suggerito di adottare uno sguardo ecologico e multifattoriale nell'approccio al bambino e alla famiglia. Questo punto di vista si fonda su due modelli principali: il modello multidimensionale (Programma Ministeriale P.I.P.P.I.), che esplora il mondo del bambino da più angolazioni, e l'approccio ecologico dello sviluppo umano (</w:t>
      </w:r>
      <w:proofErr w:type="spellStart"/>
      <w:r>
        <w:rPr>
          <w:rFonts w:ascii="Times New Roman" w:eastAsia="Times New Roman" w:hAnsi="Times New Roman" w:cs="Times New Roman"/>
          <w:color w:val="000000"/>
          <w:sz w:val="24"/>
          <w:szCs w:val="24"/>
        </w:rPr>
        <w:t>Brofenbenner</w:t>
      </w:r>
      <w:proofErr w:type="spellEnd"/>
      <w:r>
        <w:rPr>
          <w:rFonts w:ascii="Times New Roman" w:eastAsia="Times New Roman" w:hAnsi="Times New Roman" w:cs="Times New Roman"/>
          <w:color w:val="000000"/>
          <w:sz w:val="24"/>
          <w:szCs w:val="24"/>
        </w:rPr>
        <w:t>), che si articola attorno ai cinque cerchi. Entrambi questi modelli invitano a considerare non solo la relazione genitore-figlio, ma anche tutte le altre figure significative che ruotano intorno al bambino, nonché il contesto sociale e culturale in cui la famiglia vive e si sviluppa. Questo approccio ecologico ci sprona a tenere conto della complessità del contesto familiare, culturale e sociale, sottolineando l'importanza di un'analisi olistica che vada oltre i singoli aspetti, per comprendere meglio le dinamiche di crescita e le sfide che il bambino e la famiglia affrontano. Questa modalità di valutazione prevede un percorso ciclico ben evidenziato e spiegato nella slide qui di seguito.</w:t>
      </w:r>
    </w:p>
    <w:p w14:paraId="3AD3041B" w14:textId="77777777" w:rsidR="00344344" w:rsidRDefault="00344344">
      <w:pPr>
        <w:pBdr>
          <w:top w:val="nil"/>
          <w:left w:val="nil"/>
          <w:bottom w:val="nil"/>
          <w:right w:val="nil"/>
          <w:between w:val="nil"/>
        </w:pBdr>
        <w:spacing w:before="240" w:after="240" w:line="360" w:lineRule="auto"/>
        <w:jc w:val="both"/>
        <w:rPr>
          <w:rFonts w:ascii="Times New Roman" w:eastAsia="Times New Roman" w:hAnsi="Times New Roman" w:cs="Times New Roman"/>
          <w:color w:val="000000"/>
          <w:sz w:val="24"/>
          <w:szCs w:val="24"/>
        </w:rPr>
      </w:pPr>
    </w:p>
    <w:p w14:paraId="4C514C4F"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yellow"/>
        </w:rPr>
      </w:pPr>
      <w:r>
        <w:rPr>
          <w:rFonts w:ascii="Times New Roman" w:eastAsia="Times New Roman" w:hAnsi="Times New Roman" w:cs="Times New Roman"/>
          <w:noProof/>
          <w:color w:val="000000"/>
          <w:sz w:val="24"/>
          <w:szCs w:val="24"/>
          <w:highlight w:val="yellow"/>
        </w:rPr>
        <w:lastRenderedPageBreak/>
        <w:drawing>
          <wp:inline distT="114300" distB="114300" distL="114300" distR="114300" wp14:anchorId="3623FBBF" wp14:editId="1D7DAF45">
            <wp:extent cx="5731200" cy="3225800"/>
            <wp:effectExtent l="0" t="0" r="0" b="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731200" cy="3225800"/>
                    </a:xfrm>
                    <a:prstGeom prst="rect">
                      <a:avLst/>
                    </a:prstGeom>
                    <a:ln/>
                  </pic:spPr>
                </pic:pic>
              </a:graphicData>
            </a:graphic>
          </wp:inline>
        </w:drawing>
      </w:r>
    </w:p>
    <w:p w14:paraId="65E95DFF" w14:textId="77777777" w:rsidR="00344344" w:rsidRDefault="00344344">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p>
    <w:p w14:paraId="44C7DDAC"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Nella seconda parte della mattinata, la conduttrice ha proposto un'attività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organizzata nei seguenti termini: siamo stati divisi in due gruppi da quattro persone ciascuno. A ogni membro di ciascun gruppo è stato fornito la stessa descrizione relativa a una famiglia in situazione di vulnerabilità, e ogni persona doveva interpretare un personaggio della storia. La conduttrice ha imposto alcune regole: in ogni gruppo dovevano esserci almeno un genitore e un pedagogista, mentre gli altri personaggi potevano essere scelti liberamente dal gruppo. La consegna consisteva nel simulare un incontro durante il quale si sarebbe svolto un percorso di valutazione, da presentare al gruppo in soli cinque minuti. </w:t>
      </w:r>
    </w:p>
    <w:p w14:paraId="428FE7C0"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La storia che ci è stata proposta racconta di una bambina segnalata ai servizi sociali da parte degli insegnanti. Dalle loro osservazioni emerge: scarsa cura e igiene personale, carenza di materiale scolastico, poca attenzione nello svolgimento dei compiti a casa e ripetute assenze a scuola e alle gite scolastiche. Il racconto ha rivelato anche le difficoltà familiari: il padre ha recentemente perso il lavoro e si dedica a lavoretti saltuari, mentre la madre ha una storia familiare complessa. Da bambina, infatti, è stata presa in carico dai servizi sociali e affidata a un'altra famiglia, non avendo più contatti con i genitori biologici e mantenendo un rapporto conflittuale con i suoceri. Inoltre, la madre si sente costantemente giudicata, sia dai parenti che dal personale scolastico.</w:t>
      </w:r>
    </w:p>
    <w:p w14:paraId="25BA898B"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Di seguito, vengono riportate le attività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dei due gruppi:</w:t>
      </w:r>
    </w:p>
    <w:p w14:paraId="003B5658" w14:textId="77777777" w:rsidR="00344344" w:rsidRDefault="00344344">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p>
    <w:p w14:paraId="7F6C0DF6"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Primo Gruppo:</w:t>
      </w:r>
    </w:p>
    <w:p w14:paraId="6F6085B6"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Nel contesto dell’attività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l'intento iniziale era quello di creare un ambiente di confronto costruttivo, dove tutte le figure coinvolte potessero esprimere liberamente le proprie opinioni e </w:t>
      </w:r>
      <w:r>
        <w:rPr>
          <w:rFonts w:ascii="Times New Roman" w:eastAsia="Times New Roman" w:hAnsi="Times New Roman" w:cs="Times New Roman"/>
          <w:color w:val="000000"/>
          <w:sz w:val="24"/>
          <w:szCs w:val="24"/>
        </w:rPr>
        <w:lastRenderedPageBreak/>
        <w:t xml:space="preserve">cercare soluzioni condivise per affrontare le problematiche emerse nella storia della famiglia in situazione di vulnerabilità. Le figure scelte per il ruolo erano la madre, l'insegnante, la pedagogista e l'educatrice, ciascuna con un ruolo significativo all’interno dell’ambito educativo e relazionale della bambina. Ogni figura portava con sé una visione distinta ma complementare delle difficoltà da affrontare, ed era fondamentale integrare questi punti di vista per giungere a un risultato condiviso. L’obiettivo dichiarato era quello di costruire un dialogo che permettesse una comprensione reciproca delle difficoltà, creando così un piano d’azione comune per supportare la famiglia nel superamento delle criticità. Il setting del colloquio, inizialmente pensato come un incontro privo di conflitti, si sarebbe dovuto svolgere in un ambiente accogliente, dove ogni partecipante potesse sentirsi ascoltato e rispettato, al fine di promuovere un dialogo aperto e produttivo. In un contesto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dove l'obiettivo era stimolare il confronto diretto e senza filtri, la presenza del tavolo ha contribuito a separare i partecipanti, limitando la possibilità di una comunicazione spontanea e fluida. La distanza fisica imposta dal tavolo ha, infatti, avuto l’effetto di rendere l'incontro più formale, distaccato e meno empatico, rischiando di ostacolare l’instaurarsi di una connessione autentica tra le parti coinvolte. Questo aspetto evidenzia come la scelta di un setting, apparentemente neutro, possa influire negativamente sul clima del confronto e sullo sviluppo di una comunicazione efficace. Ogni figura coinvolta aveva preoccupazioni specifiche e necessità da soddisfare: la madre, ad esempio, cercava comprensione e supporto per superare le difficoltà personali e familiari, mentre l'insegnante, la pedagogista e l'educatore erano principalmente interessati a garantire il benessere della bambina e il suo inserimento scolastico. Il colloquio doveva quindi rappresentare un'opportunità per ascoltare tutte le voci in gioco, identificare le problematiche comuni e individuare strategie condivise per affrontarle. Un altro aspetto fondamentale del colloquio era la ricerca di un "agire idoneo", ovvero l’individuazione di azioni pratiche e concrete che ogni figura avrebbe potuto intraprendere per risolvere le difficoltà emerse. L'intento era quello di costruire una rete di supporto reciproco, dove ciascuna parte potesse apportare il proprio contributo in modo attivo e collaborativo. In questo contesto, ogni figura avrebbe dovuto riflettere su soluzioni che fossero effettivamente efficaci nel contesto specifico, rispondendo alle esigenze della bambina, ma anche a quelle della famiglia, in un'ottica di sostegno globale e sistemico. Il ruolo del pedagogista e dell'educatrice non si limita a quello di fornire supporto alla bambina, ma include anche un’attenzione alle dinamiche familiari e alla creazione di condizioni che possano favorire una genitorialità positiva, superando la solitudine e le difficoltà connesse alla vulnerabilità. In conclusione, l’esperienza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ha messo in luce non solo la complessità delle dinamiche familiari e scolastiche, ma anche l'importanza di un approccio sistemico, che integri i diversi punti di vista in modo da creare soluzioni condivise.</w:t>
      </w:r>
    </w:p>
    <w:p w14:paraId="64F67C32" w14:textId="77777777" w:rsidR="00344344" w:rsidRDefault="00344344">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p>
    <w:p w14:paraId="5F07655A"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Secondo Gruppo:</w:t>
      </w:r>
    </w:p>
    <w:p w14:paraId="39C809B5"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La scelta delle figure da interpretare nel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non è stata semplice, per esempio si è riflettuto a lungo sull'opportunità di includere o meno la figura del padre. Alcuni membri del gruppo hanno ritenuto che la presenza del padre non fosse necessaria, poiché nella storia emergono maggiormente altre figure centrali: l'insegnante, la madre, l’assistente sociale, la bambina e l’educatore domiciliare. Altri, invece, hanno sostenuto che </w:t>
      </w:r>
      <w:proofErr w:type="gramStart"/>
      <w:r>
        <w:rPr>
          <w:rFonts w:ascii="Times New Roman" w:eastAsia="Times New Roman" w:hAnsi="Times New Roman" w:cs="Times New Roman"/>
          <w:color w:val="000000"/>
          <w:sz w:val="24"/>
          <w:szCs w:val="24"/>
        </w:rPr>
        <w:t>fosse</w:t>
      </w:r>
      <w:proofErr w:type="gramEnd"/>
      <w:r>
        <w:rPr>
          <w:rFonts w:ascii="Times New Roman" w:eastAsia="Times New Roman" w:hAnsi="Times New Roman" w:cs="Times New Roman"/>
          <w:color w:val="000000"/>
          <w:sz w:val="24"/>
          <w:szCs w:val="24"/>
        </w:rPr>
        <w:t xml:space="preserve"> fondamentale includere il padre, per non lasciare la madre da sola, soprattutto considerando che la maestra l’avesse giudicata incapace di prendersi cura della figlia. Questa percezione rischiava di far sentire la madre ancora più isolata e giudicata negativamente, come se tutti fossero contro di lei. Per questa ragione, nel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si è deciso di includere: la madre, il padre, la maestra e la pedagogista. </w:t>
      </w:r>
    </w:p>
    <w:p w14:paraId="4A2940B1"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Per quanto riguarda il setting, si è scelto di creare un ambiente che favorisse il dialogo e l’ascolto reciproco, posizionandosi in cerchio, senza l’ostacolo fisico di un tavolo che avrebbe potuto simbolizzare una distanza emotiva tra i partecipanti. La madre, sedendosi vicino al marito come segno di supporto, si è posizionata lontano dalla maestra, evidenziando simbolicamente il distacco emotivo nei confronti di un personaggio che aveva dimostrato di essere critico nei suoi confronti. La presenza della pedagogista, infine, le offriva un punto di riferimento solido, una figura alla quale poter esprimere liberamente la propria versione della situazione familiare, che l'insegnante aveva definito inadeguata, accusando la madre di non prendersi cura della figlia. In questo modo, l'incontro avrebbe potuto avere un tono più equilibrato, permettendo a tutte le voci di essere ascoltate e rispettate.</w:t>
      </w:r>
    </w:p>
    <w:p w14:paraId="2BA39B45" w14:textId="77777777" w:rsidR="00344344" w:rsidRDefault="00000000">
      <w:pPr>
        <w:pBdr>
          <w:top w:val="nil"/>
          <w:left w:val="nil"/>
          <w:bottom w:val="nil"/>
          <w:right w:val="nil"/>
          <w:between w:val="nil"/>
        </w:pBdr>
        <w:spacing w:before="240"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Dalla messa in scena dei due gruppi sono emerse diverse riflessioni e commenti significativi:</w:t>
      </w:r>
    </w:p>
    <w:p w14:paraId="3E887F28"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-Nel primo gruppo, è stato evidenziato che inizialmente la madre si sentiva obbligata a partecipare all'incontro e che la sua motivazione era scarsa. Tuttavia, nel corso della simulazione, grazie al contributo della pedagogista, che si è proposta di offrire un supporto concreto e senza giudizio, la madre ha cominciato a sentirsi più compresa e accolta. Questo cambiamento di atteggiamento ha avuto un impatto positivo sul suo coinvolgimento nell'incontro. Una studentessa del gruppo ha sottolineato che l'insegnante, inizialmente percepita come una figura autoritaria e critica, ha mostrato una maggiore apertura e disponibilità, facendo un passo indietro e mettendosi in discussione. Questo ha consentito alla madre di sentirsi meno isolata e di avvicinarsi al dialogo in modo più sereno. La conduttrice ha suggerito alcune modifiche, stimolando una riflessione sulla disposizione fisica dei partecipanti. Una delle partecipanti ha sottolineato un aspetto importante: nella realtà, la figura dell'insegnante è spesso difficile da percepire come accogliente e disponibile nei confronti dei genitori, soprattutto quando questi si trovano in una situazione di difficoltà. </w:t>
      </w:r>
    </w:p>
    <w:p w14:paraId="1582FA40"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lastRenderedPageBreak/>
        <w:t>E’</w:t>
      </w:r>
      <w:proofErr w:type="gramEnd"/>
      <w:r>
        <w:rPr>
          <w:rFonts w:ascii="Times New Roman" w:eastAsia="Times New Roman" w:hAnsi="Times New Roman" w:cs="Times New Roman"/>
          <w:color w:val="000000"/>
          <w:sz w:val="24"/>
          <w:szCs w:val="24"/>
        </w:rPr>
        <w:t xml:space="preserve"> stato apprezzato, quindi, l'atteggiamento positivo e propositivo mostrato dall'insegnante durante il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evidenziando come un comportamento empatico e di apertura possa contribuire a creare un ambiente di collaborazione e di sostegno, piuttosto che di giudizio. In sintesi, tutte le partecipanti erano concordi nel ritenere che l'attività di </w:t>
      </w:r>
      <w:proofErr w:type="spellStart"/>
      <w:r>
        <w:rPr>
          <w:rFonts w:ascii="Times New Roman" w:eastAsia="Times New Roman" w:hAnsi="Times New Roman" w:cs="Times New Roman"/>
          <w:color w:val="000000"/>
          <w:sz w:val="24"/>
          <w:szCs w:val="24"/>
        </w:rPr>
        <w:t>role</w:t>
      </w:r>
      <w:proofErr w:type="spellEnd"/>
      <w:r>
        <w:rPr>
          <w:rFonts w:ascii="Times New Roman" w:eastAsia="Times New Roman" w:hAnsi="Times New Roman" w:cs="Times New Roman"/>
          <w:color w:val="000000"/>
          <w:sz w:val="24"/>
          <w:szCs w:val="24"/>
        </w:rPr>
        <w:t xml:space="preserve"> play ha permesso di esplorare diverse dinamiche relazionali, mettendo in luce l’importanza di un approccio accogliente e non giudicante, in grado di favorire una comunicazione autentica e una cooperazione efficace tra scuola e famiglia.</w:t>
      </w:r>
    </w:p>
    <w:p w14:paraId="5CC71F1F" w14:textId="77777777" w:rsidR="00344344" w:rsidRDefault="00000000">
      <w:p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-Nel secondo gruppo è stato sottolineato il diverso atteggiamento della madre, la quale appariva più mite e usava un tono di voce basso. Questo comportamento può essere interpretato come un modo personale di esprimere avversione e disaccordo, non verbale e difensivo, nei confronti dei ripetuti attacchi verbali da parte dell'insegnante. Il suo approccio non aggressivo potrebbe essere frainteso come un disinteresse nel cercare soluzioni per il benessere della figlia, un atteggiamento che ha suscitato nei partecipanti l'aspettativa che la madre rispondesse in modo più aggressivo, alzando la voce, come spesso accade in situazioni simili. Questa reazione, infatti, è una modalità difensiva che molti operatori sociali si trovano a dover gestire nelle loro pratiche quotidiane. Questo ci ha insegnato che le madri non reagiscono sempre allo stesso modo: ogni individuo, influenzato dalla propria personalità, educazione e cultura, ha una modalità unica di affrontare le difficoltà. Come ha sottolineato la conduttrice, esistono casi in cui i genitori potrebbero non presentarsi all’incontro, oppure uno dei due potrebbe decidere di allontanarsi, incapace di continuare a parlare in un clima di tensione.</w:t>
      </w:r>
    </w:p>
    <w:p w14:paraId="5E01D91A" w14:textId="77777777" w:rsidR="00344344" w:rsidRDefault="00000000">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 termine dell'incontro, la conduttrice ci ha invitato a riflettere e a trovare una parola che sintetizzasse ciò che ciascuno di noi si sarebbe portato a casa dopo questa giornata. Le parole emerse durante questa riflessione sono state le seguenti:</w:t>
      </w:r>
    </w:p>
    <w:p w14:paraId="07F2A96B" w14:textId="77777777" w:rsidR="00344344" w:rsidRDefault="00000000">
      <w:pPr>
        <w:numPr>
          <w:ilvl w:val="0"/>
          <w:numId w:val="2"/>
        </w:numPr>
        <w:pBdr>
          <w:top w:val="nil"/>
          <w:left w:val="nil"/>
          <w:bottom w:val="nil"/>
          <w:right w:val="nil"/>
          <w:between w:val="nil"/>
        </w:pBdr>
        <w:spacing w:before="240" w:after="0" w:line="360" w:lineRule="auto"/>
        <w:jc w:val="both"/>
        <w:rPr>
          <w:rFonts w:ascii="Times New Roman" w:eastAsia="Times New Roman" w:hAnsi="Times New Roman" w:cs="Times New Roman"/>
          <w:color w:val="000000"/>
          <w:sz w:val="24"/>
          <w:szCs w:val="24"/>
        </w:rPr>
      </w:pPr>
      <w:bookmarkStart w:id="0" w:name="_heading=h.gjdgxs" w:colFirst="0" w:colLast="0"/>
      <w:bookmarkEnd w:id="0"/>
      <w:r>
        <w:rPr>
          <w:rFonts w:ascii="Times New Roman" w:eastAsia="Times New Roman" w:hAnsi="Times New Roman" w:cs="Times New Roman"/>
          <w:b/>
          <w:color w:val="000000"/>
          <w:sz w:val="24"/>
          <w:szCs w:val="24"/>
        </w:rPr>
        <w:t>Riflessione</w:t>
      </w:r>
      <w:r>
        <w:rPr>
          <w:rFonts w:ascii="Times New Roman" w:eastAsia="Times New Roman" w:hAnsi="Times New Roman" w:cs="Times New Roman"/>
          <w:color w:val="000000"/>
          <w:sz w:val="24"/>
          <w:szCs w:val="24"/>
        </w:rPr>
        <w:t>: questa parola è emersa come un riassunto della mattinata, che ha suscitato numerosi spunti di riflessione da approfondire anche successivamente. In particolare, uno degli interrogativi che ci ha accompagnato al termine del workshop è stato: "Cosa farebbe un/a vero/a pedagogista, nella realtà, di fronte a una situazione di vulnerabilità come quella che ci è stata presentata?" Questa domanda ha stimolato il desiderio di esplorare più a fondo le implicazioni pratiche della professione pedagogica.</w:t>
      </w:r>
    </w:p>
    <w:p w14:paraId="035A21BA" w14:textId="77777777" w:rsidR="00344344" w:rsidRDefault="00000000">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Giudizio</w:t>
      </w:r>
      <w:r>
        <w:rPr>
          <w:rFonts w:ascii="Times New Roman" w:eastAsia="Times New Roman" w:hAnsi="Times New Roman" w:cs="Times New Roman"/>
          <w:color w:val="000000"/>
          <w:sz w:val="24"/>
          <w:szCs w:val="24"/>
        </w:rPr>
        <w:t>: questa parola è stata scelta perché, spesso, è più facile e veloce giudicare ed etichettare una situazione, piuttosto che fermarsi, ascoltare e riflettere su quanto si sta osservando o ascoltando. Il giudizio immediato tende a semplificare la complessità dei fenomeni, ma per progettare un percorso di valutazione che miri a un miglioramento delle relazioni, è necessario fermarsi a riflettere e considerare tutte le variabili in gioco.</w:t>
      </w:r>
    </w:p>
    <w:p w14:paraId="33CC845C" w14:textId="77777777" w:rsidR="00344344" w:rsidRDefault="00000000">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Attenzione</w:t>
      </w:r>
      <w:r>
        <w:rPr>
          <w:rFonts w:ascii="Times New Roman" w:eastAsia="Times New Roman" w:hAnsi="Times New Roman" w:cs="Times New Roman"/>
          <w:color w:val="000000"/>
          <w:sz w:val="24"/>
          <w:szCs w:val="24"/>
        </w:rPr>
        <w:t>: per comprendere in modo più profondo una situazione, è essenziale prestare attenzione ripetutamente, guardando la stessa situazione da diverse angolazioni e cambiando prospettiva. Solo in questo modo è possibile far emergere nuovi particolari e scoprire ciò che, a uno sguardo superficiale, potrebbe sfuggire. L'attenzione permette di cogliere le sfumature e le dinamiche che spesso rimangono nascoste se non viene adottata una visione più attenta e analitica.</w:t>
      </w:r>
    </w:p>
    <w:p w14:paraId="47FE8235" w14:textId="77777777" w:rsidR="00344344" w:rsidRDefault="00000000">
      <w:pPr>
        <w:numPr>
          <w:ilvl w:val="0"/>
          <w:numId w:val="2"/>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Bambino- adulto-ambiente</w:t>
      </w:r>
      <w:r>
        <w:rPr>
          <w:rFonts w:ascii="Times New Roman" w:eastAsia="Times New Roman" w:hAnsi="Times New Roman" w:cs="Times New Roman"/>
          <w:color w:val="000000"/>
          <w:sz w:val="24"/>
          <w:szCs w:val="24"/>
        </w:rPr>
        <w:t>: questi tre elementi sono stati identificati come punti di riferimento fondamentali durante il processo di valutazione. La conduttrice ci ha invitato a non concentrarci esclusivamente sul bambino o sul genitore, né solo sulla relazione tra i due, ma a considerare anche l’ambiente in cui si trovano a vivere. È stato sottolineato l'importanza di valutare gli attori coinvolti e i loro comportamenti in relazione al contesto in cui si trovano, tenendo conto anche delle differenze tra il contesto attuale e quello da cui provengono.</w:t>
      </w:r>
    </w:p>
    <w:p w14:paraId="09D5FB5B" w14:textId="77777777" w:rsidR="00344344" w:rsidRDefault="00000000">
      <w:pPr>
        <w:numPr>
          <w:ilvl w:val="0"/>
          <w:numId w:val="2"/>
        </w:numPr>
        <w:pBdr>
          <w:top w:val="nil"/>
          <w:left w:val="nil"/>
          <w:bottom w:val="nil"/>
          <w:right w:val="nil"/>
          <w:between w:val="nil"/>
        </w:pBdr>
        <w:spacing w:after="240" w:line="36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Profondità</w:t>
      </w:r>
      <w:r>
        <w:rPr>
          <w:rFonts w:ascii="Times New Roman" w:eastAsia="Times New Roman" w:hAnsi="Times New Roman" w:cs="Times New Roman"/>
          <w:color w:val="000000"/>
          <w:sz w:val="24"/>
          <w:szCs w:val="24"/>
        </w:rPr>
        <w:t>: per poter lavorare in modo efficace con le famiglie che si trovano in situazioni di disagio, è necessario immergersi nella loro vita quotidiana, cercando di comprendere le dinamiche interne che ne caratterizzano le relazioni. Solo attraverso una conoscenza approfondita della realtà familiare è possibile instaurare un'alleanza genuina con la famiglia stessa, che costituisce la base per progettare un percorso condiviso che risponda ai bisogni reali e alle specifiche difficoltà che essa sta affrontando.</w:t>
      </w:r>
    </w:p>
    <w:p w14:paraId="71188C33" w14:textId="77777777" w:rsidR="00344344" w:rsidRDefault="00344344">
      <w:pPr>
        <w:pBdr>
          <w:top w:val="nil"/>
          <w:left w:val="nil"/>
          <w:bottom w:val="nil"/>
          <w:right w:val="nil"/>
          <w:between w:val="nil"/>
        </w:pBdr>
        <w:spacing w:after="240" w:line="360" w:lineRule="auto"/>
        <w:ind w:left="720"/>
        <w:rPr>
          <w:rFonts w:ascii="Times New Roman" w:eastAsia="Times New Roman" w:hAnsi="Times New Roman" w:cs="Times New Roman"/>
          <w:color w:val="000000"/>
          <w:sz w:val="24"/>
          <w:szCs w:val="24"/>
        </w:rPr>
      </w:pPr>
    </w:p>
    <w:p w14:paraId="12B367DB" w14:textId="77777777" w:rsidR="00265056" w:rsidRDefault="00265056">
      <w:pPr>
        <w:pBdr>
          <w:top w:val="nil"/>
          <w:left w:val="nil"/>
          <w:bottom w:val="nil"/>
          <w:right w:val="nil"/>
          <w:between w:val="nil"/>
        </w:pBdr>
        <w:spacing w:before="240" w:after="0" w:line="360" w:lineRule="auto"/>
        <w:jc w:val="both"/>
        <w:rPr>
          <w:rFonts w:ascii="Times New Roman" w:eastAsia="Arial" w:hAnsi="Times New Roman" w:cs="Times New Roman"/>
          <w:color w:val="000000"/>
          <w:sz w:val="24"/>
          <w:szCs w:val="24"/>
        </w:rPr>
      </w:pPr>
    </w:p>
    <w:p w14:paraId="37089D45" w14:textId="77777777" w:rsidR="00265056" w:rsidRDefault="00265056">
      <w:pPr>
        <w:pBdr>
          <w:top w:val="nil"/>
          <w:left w:val="nil"/>
          <w:bottom w:val="nil"/>
          <w:right w:val="nil"/>
          <w:between w:val="nil"/>
        </w:pBdr>
        <w:spacing w:before="240" w:after="0" w:line="360" w:lineRule="auto"/>
        <w:jc w:val="both"/>
        <w:rPr>
          <w:rFonts w:ascii="Times New Roman" w:eastAsia="Arial" w:hAnsi="Times New Roman" w:cs="Times New Roman"/>
          <w:color w:val="000000"/>
          <w:sz w:val="24"/>
          <w:szCs w:val="24"/>
        </w:rPr>
      </w:pPr>
    </w:p>
    <w:p w14:paraId="55C77EEE" w14:textId="1724ADB8" w:rsidR="00344344" w:rsidRPr="00265056" w:rsidRDefault="00000000">
      <w:pPr>
        <w:pBdr>
          <w:top w:val="nil"/>
          <w:left w:val="nil"/>
          <w:bottom w:val="nil"/>
          <w:right w:val="nil"/>
          <w:between w:val="nil"/>
        </w:pBdr>
        <w:spacing w:before="240" w:after="0" w:line="360" w:lineRule="auto"/>
        <w:jc w:val="both"/>
        <w:rPr>
          <w:rFonts w:ascii="Times New Roman" w:eastAsia="Arial" w:hAnsi="Times New Roman" w:cs="Times New Roman"/>
          <w:color w:val="000000"/>
          <w:sz w:val="24"/>
          <w:szCs w:val="24"/>
        </w:rPr>
      </w:pPr>
      <w:r w:rsidRPr="00265056">
        <w:rPr>
          <w:rFonts w:ascii="Times New Roman" w:eastAsia="Arial" w:hAnsi="Times New Roman" w:cs="Times New Roman"/>
          <w:color w:val="000000"/>
          <w:sz w:val="24"/>
          <w:szCs w:val="24"/>
        </w:rPr>
        <w:t>BIBLIOGRAFIA</w:t>
      </w:r>
    </w:p>
    <w:p w14:paraId="615D5AC8" w14:textId="51C00674" w:rsidR="00344344" w:rsidRPr="00265056" w:rsidRDefault="00000000">
      <w:pPr>
        <w:numPr>
          <w:ilvl w:val="0"/>
          <w:numId w:val="1"/>
        </w:numPr>
        <w:pBdr>
          <w:top w:val="nil"/>
          <w:left w:val="nil"/>
          <w:bottom w:val="nil"/>
          <w:right w:val="nil"/>
          <w:between w:val="nil"/>
        </w:pBdr>
        <w:spacing w:after="0" w:line="360" w:lineRule="auto"/>
        <w:jc w:val="both"/>
        <w:rPr>
          <w:rFonts w:ascii="Times New Roman" w:hAnsi="Times New Roman" w:cs="Times New Roman"/>
          <w:sz w:val="24"/>
          <w:szCs w:val="24"/>
        </w:rPr>
      </w:pPr>
      <w:r w:rsidRPr="00265056">
        <w:rPr>
          <w:rFonts w:ascii="Times New Roman" w:eastAsia="Arial" w:hAnsi="Times New Roman" w:cs="Times New Roman"/>
          <w:color w:val="000000"/>
          <w:sz w:val="24"/>
          <w:szCs w:val="24"/>
        </w:rPr>
        <w:t xml:space="preserve">Formenti </w:t>
      </w:r>
      <w:r w:rsidR="00756D81">
        <w:rPr>
          <w:rFonts w:ascii="Times New Roman" w:eastAsia="Arial" w:hAnsi="Times New Roman" w:cs="Times New Roman"/>
          <w:color w:val="000000"/>
          <w:sz w:val="24"/>
          <w:szCs w:val="24"/>
        </w:rPr>
        <w:t xml:space="preserve">L. </w:t>
      </w:r>
      <w:r w:rsidRPr="00265056">
        <w:rPr>
          <w:rFonts w:ascii="Times New Roman" w:eastAsia="Arial" w:hAnsi="Times New Roman" w:cs="Times New Roman"/>
          <w:color w:val="000000"/>
          <w:sz w:val="24"/>
          <w:szCs w:val="24"/>
        </w:rPr>
        <w:t xml:space="preserve">(2019) </w:t>
      </w:r>
      <w:r w:rsidR="00756D81">
        <w:rPr>
          <w:rFonts w:ascii="Times New Roman" w:eastAsia="Arial" w:hAnsi="Times New Roman" w:cs="Times New Roman"/>
          <w:color w:val="000000"/>
          <w:sz w:val="24"/>
          <w:szCs w:val="24"/>
        </w:rPr>
        <w:t>“</w:t>
      </w:r>
      <w:r w:rsidRPr="00265056">
        <w:rPr>
          <w:rFonts w:ascii="Times New Roman" w:eastAsia="Arial" w:hAnsi="Times New Roman" w:cs="Times New Roman"/>
          <w:color w:val="000000"/>
          <w:sz w:val="24"/>
          <w:szCs w:val="24"/>
        </w:rPr>
        <w:t>Reinterpretare la negligenza genitoriale in una cornice critica: uno studio etnografico</w:t>
      </w:r>
      <w:r w:rsidR="00756D81">
        <w:rPr>
          <w:rFonts w:ascii="Times New Roman" w:eastAsia="Arial" w:hAnsi="Times New Roman" w:cs="Times New Roman"/>
          <w:color w:val="000000"/>
          <w:sz w:val="24"/>
          <w:szCs w:val="24"/>
        </w:rPr>
        <w:t>”, i</w:t>
      </w:r>
      <w:r w:rsidRPr="00265056">
        <w:rPr>
          <w:rFonts w:ascii="Times New Roman" w:eastAsia="Arial" w:hAnsi="Times New Roman" w:cs="Times New Roman"/>
          <w:color w:val="000000"/>
          <w:sz w:val="24"/>
          <w:szCs w:val="24"/>
        </w:rPr>
        <w:t xml:space="preserve">n </w:t>
      </w:r>
      <w:r w:rsidR="00756D81">
        <w:rPr>
          <w:rFonts w:ascii="Times New Roman" w:eastAsia="Arial" w:hAnsi="Times New Roman" w:cs="Times New Roman"/>
          <w:color w:val="000000"/>
          <w:sz w:val="24"/>
          <w:szCs w:val="24"/>
        </w:rPr>
        <w:t>‘</w:t>
      </w:r>
      <w:r w:rsidRPr="00265056">
        <w:rPr>
          <w:rFonts w:ascii="Times New Roman" w:eastAsia="Arial" w:hAnsi="Times New Roman" w:cs="Times New Roman"/>
          <w:color w:val="000000"/>
          <w:sz w:val="24"/>
          <w:szCs w:val="24"/>
        </w:rPr>
        <w:t>La Famiglia. Rivista di problemi familiari</w:t>
      </w:r>
      <w:r w:rsidR="00756D81">
        <w:rPr>
          <w:rFonts w:ascii="Times New Roman" w:eastAsia="Arial" w:hAnsi="Times New Roman" w:cs="Times New Roman"/>
          <w:color w:val="000000"/>
          <w:sz w:val="24"/>
          <w:szCs w:val="24"/>
        </w:rPr>
        <w:t>’</w:t>
      </w:r>
      <w:r w:rsidRPr="00265056">
        <w:rPr>
          <w:rFonts w:ascii="Times New Roman" w:eastAsia="Arial" w:hAnsi="Times New Roman" w:cs="Times New Roman"/>
          <w:color w:val="000000"/>
          <w:sz w:val="24"/>
          <w:szCs w:val="24"/>
        </w:rPr>
        <w:t>, 53/63, pp.</w:t>
      </w:r>
      <w:r w:rsidR="00756D81">
        <w:rPr>
          <w:rFonts w:ascii="Times New Roman" w:eastAsia="Arial" w:hAnsi="Times New Roman" w:cs="Times New Roman"/>
          <w:color w:val="000000"/>
          <w:sz w:val="24"/>
          <w:szCs w:val="24"/>
        </w:rPr>
        <w:t xml:space="preserve"> </w:t>
      </w:r>
      <w:r w:rsidRPr="00265056">
        <w:rPr>
          <w:rFonts w:ascii="Times New Roman" w:eastAsia="Arial" w:hAnsi="Times New Roman" w:cs="Times New Roman"/>
          <w:color w:val="000000"/>
          <w:sz w:val="24"/>
          <w:szCs w:val="24"/>
        </w:rPr>
        <w:t>230-249.</w:t>
      </w:r>
    </w:p>
    <w:p w14:paraId="5570A131" w14:textId="77777777" w:rsidR="00344344" w:rsidRPr="00265056" w:rsidRDefault="00000000">
      <w:pPr>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sidRPr="00265056">
        <w:rPr>
          <w:rFonts w:ascii="Times New Roman" w:hAnsi="Times New Roman" w:cs="Times New Roman"/>
          <w:color w:val="000000"/>
          <w:sz w:val="24"/>
          <w:szCs w:val="24"/>
        </w:rPr>
        <w:t xml:space="preserve">Slide utilizzate durante il </w:t>
      </w:r>
      <w:proofErr w:type="spellStart"/>
      <w:r w:rsidRPr="00265056">
        <w:rPr>
          <w:rFonts w:ascii="Times New Roman" w:hAnsi="Times New Roman" w:cs="Times New Roman"/>
          <w:color w:val="000000"/>
          <w:sz w:val="24"/>
          <w:szCs w:val="24"/>
        </w:rPr>
        <w:t>WorkShop</w:t>
      </w:r>
      <w:proofErr w:type="spellEnd"/>
      <w:r w:rsidRPr="00265056">
        <w:rPr>
          <w:rFonts w:ascii="Times New Roman" w:hAnsi="Times New Roman" w:cs="Times New Roman"/>
          <w:color w:val="000000"/>
          <w:sz w:val="24"/>
          <w:szCs w:val="24"/>
        </w:rPr>
        <w:t>, realizzate dalla dott.ssa Daniela Moles</w:t>
      </w:r>
    </w:p>
    <w:sectPr w:rsidR="00344344" w:rsidRPr="00265056">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embedRegular r:id="rId1" w:fontKey="{E1EE09CA-B5FA-4CB4-85C8-904156EBF996}"/>
    <w:embedItalic r:id="rId2" w:fontKey="{493B7678-51B0-41C8-830B-BE5E32A3E32C}"/>
  </w:font>
  <w:font w:name="Aptos Display">
    <w:charset w:val="00"/>
    <w:family w:val="swiss"/>
    <w:pitch w:val="variable"/>
    <w:sig w:usb0="20000287" w:usb1="00000003" w:usb2="00000000" w:usb3="00000000" w:csb0="0000019F" w:csb1="00000000"/>
    <w:embedRegular r:id="rId3" w:fontKey="{1C20747A-FECA-4397-8EA1-2B2773190A15}"/>
  </w:font>
  <w:font w:name="Tahoma">
    <w:panose1 w:val="020B0604030504040204"/>
    <w:charset w:val="00"/>
    <w:family w:val="swiss"/>
    <w:pitch w:val="variable"/>
    <w:sig w:usb0="E1002EFF" w:usb1="C000605B" w:usb2="00000029" w:usb3="00000000" w:csb0="000101FF" w:csb1="00000000"/>
    <w:embedRegular r:id="rId4" w:fontKey="{91A9E0F9-EC64-4749-BF11-3B85A918C9BE}"/>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5" w:fontKey="{283C03C9-39B2-4536-A5BD-DC37DF4A1E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555F54"/>
    <w:multiLevelType w:val="multilevel"/>
    <w:tmpl w:val="B1DCD4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0AF2CD7"/>
    <w:multiLevelType w:val="multilevel"/>
    <w:tmpl w:val="FE72DE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08650014">
    <w:abstractNumId w:val="0"/>
  </w:num>
  <w:num w:numId="2" w16cid:durableId="9512828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4344"/>
    <w:rsid w:val="00265056"/>
    <w:rsid w:val="00282D0E"/>
    <w:rsid w:val="00344344"/>
    <w:rsid w:val="00417F22"/>
    <w:rsid w:val="00640AAA"/>
    <w:rsid w:val="00756D81"/>
    <w:rsid w:val="008B3CAE"/>
    <w:rsid w:val="00E401AE"/>
    <w:rsid w:val="00F16E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247DF"/>
  <w15:docId w15:val="{1A73054E-D40F-49D5-82CE-FF7DAC5EE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3147"/>
  </w:style>
  <w:style w:type="paragraph" w:styleId="Titolo1">
    <w:name w:val="heading 1"/>
    <w:basedOn w:val="Normale"/>
    <w:next w:val="Normale"/>
    <w:link w:val="Titolo1Carattere"/>
    <w:uiPriority w:val="9"/>
    <w:qFormat/>
    <w:rsid w:val="00A53147"/>
    <w:pPr>
      <w:keepNext/>
      <w:keepLines/>
      <w:spacing w:before="360" w:after="80"/>
      <w:outlineLvl w:val="0"/>
    </w:pPr>
    <w:rPr>
      <w:rFonts w:asciiTheme="majorHAnsi" w:eastAsiaTheme="majorEastAsia" w:hAnsiTheme="majorHAnsi" w:cstheme="majorBidi"/>
      <w:color w:val="0F4761" w:themeColor="accent1" w:themeShade="BF"/>
      <w:kern w:val="2"/>
      <w:sz w:val="40"/>
      <w:szCs w:val="40"/>
    </w:rPr>
  </w:style>
  <w:style w:type="paragraph" w:styleId="Titolo2">
    <w:name w:val="heading 2"/>
    <w:basedOn w:val="Normale"/>
    <w:next w:val="Normale"/>
    <w:link w:val="Titolo2Carattere"/>
    <w:uiPriority w:val="9"/>
    <w:semiHidden/>
    <w:unhideWhenUsed/>
    <w:qFormat/>
    <w:rsid w:val="00A53147"/>
    <w:pPr>
      <w:keepNext/>
      <w:keepLines/>
      <w:spacing w:before="160" w:after="80"/>
      <w:outlineLvl w:val="1"/>
    </w:pPr>
    <w:rPr>
      <w:rFonts w:asciiTheme="majorHAnsi" w:eastAsiaTheme="majorEastAsia" w:hAnsiTheme="majorHAnsi" w:cstheme="majorBidi"/>
      <w:color w:val="0F4761" w:themeColor="accent1" w:themeShade="BF"/>
      <w:kern w:val="2"/>
      <w:sz w:val="32"/>
      <w:szCs w:val="32"/>
    </w:rPr>
  </w:style>
  <w:style w:type="paragraph" w:styleId="Titolo3">
    <w:name w:val="heading 3"/>
    <w:basedOn w:val="Normale"/>
    <w:next w:val="Normale"/>
    <w:link w:val="Titolo3Carattere"/>
    <w:uiPriority w:val="9"/>
    <w:semiHidden/>
    <w:unhideWhenUsed/>
    <w:qFormat/>
    <w:rsid w:val="00A53147"/>
    <w:pPr>
      <w:keepNext/>
      <w:keepLines/>
      <w:spacing w:before="160" w:after="80"/>
      <w:outlineLvl w:val="2"/>
    </w:pPr>
    <w:rPr>
      <w:rFonts w:eastAsiaTheme="majorEastAsia" w:cstheme="majorBidi"/>
      <w:color w:val="0F4761" w:themeColor="accent1" w:themeShade="BF"/>
      <w:kern w:val="2"/>
      <w:sz w:val="28"/>
      <w:szCs w:val="28"/>
    </w:rPr>
  </w:style>
  <w:style w:type="paragraph" w:styleId="Titolo4">
    <w:name w:val="heading 4"/>
    <w:basedOn w:val="Normale"/>
    <w:next w:val="Normale"/>
    <w:link w:val="Titolo4Carattere"/>
    <w:uiPriority w:val="9"/>
    <w:semiHidden/>
    <w:unhideWhenUsed/>
    <w:qFormat/>
    <w:rsid w:val="00A53147"/>
    <w:pPr>
      <w:keepNext/>
      <w:keepLines/>
      <w:spacing w:before="80" w:after="40"/>
      <w:outlineLvl w:val="3"/>
    </w:pPr>
    <w:rPr>
      <w:rFonts w:eastAsiaTheme="majorEastAsia" w:cstheme="majorBidi"/>
      <w:i/>
      <w:iCs/>
      <w:color w:val="0F4761" w:themeColor="accent1" w:themeShade="BF"/>
      <w:kern w:val="2"/>
    </w:rPr>
  </w:style>
  <w:style w:type="paragraph" w:styleId="Titolo5">
    <w:name w:val="heading 5"/>
    <w:basedOn w:val="Normale"/>
    <w:next w:val="Normale"/>
    <w:link w:val="Titolo5Carattere"/>
    <w:uiPriority w:val="9"/>
    <w:semiHidden/>
    <w:unhideWhenUsed/>
    <w:qFormat/>
    <w:rsid w:val="00A53147"/>
    <w:pPr>
      <w:keepNext/>
      <w:keepLines/>
      <w:spacing w:before="80" w:after="40"/>
      <w:outlineLvl w:val="4"/>
    </w:pPr>
    <w:rPr>
      <w:rFonts w:eastAsiaTheme="majorEastAsia" w:cstheme="majorBidi"/>
      <w:color w:val="0F4761" w:themeColor="accent1" w:themeShade="BF"/>
      <w:kern w:val="2"/>
    </w:rPr>
  </w:style>
  <w:style w:type="paragraph" w:styleId="Titolo6">
    <w:name w:val="heading 6"/>
    <w:basedOn w:val="Normale"/>
    <w:next w:val="Normale"/>
    <w:link w:val="Titolo6Carattere"/>
    <w:uiPriority w:val="9"/>
    <w:semiHidden/>
    <w:unhideWhenUsed/>
    <w:qFormat/>
    <w:rsid w:val="00A53147"/>
    <w:pPr>
      <w:keepNext/>
      <w:keepLines/>
      <w:spacing w:before="40" w:after="0"/>
      <w:outlineLvl w:val="5"/>
    </w:pPr>
    <w:rPr>
      <w:rFonts w:eastAsiaTheme="majorEastAsia" w:cstheme="majorBidi"/>
      <w:i/>
      <w:iCs/>
      <w:color w:val="595959" w:themeColor="text1" w:themeTint="A6"/>
      <w:kern w:val="2"/>
    </w:rPr>
  </w:style>
  <w:style w:type="paragraph" w:styleId="Titolo7">
    <w:name w:val="heading 7"/>
    <w:basedOn w:val="Normale"/>
    <w:next w:val="Normale"/>
    <w:link w:val="Titolo7Carattere"/>
    <w:uiPriority w:val="9"/>
    <w:semiHidden/>
    <w:unhideWhenUsed/>
    <w:qFormat/>
    <w:rsid w:val="00A53147"/>
    <w:pPr>
      <w:keepNext/>
      <w:keepLines/>
      <w:spacing w:before="40" w:after="0"/>
      <w:outlineLvl w:val="6"/>
    </w:pPr>
    <w:rPr>
      <w:rFonts w:eastAsiaTheme="majorEastAsia" w:cstheme="majorBidi"/>
      <w:color w:val="595959" w:themeColor="text1" w:themeTint="A6"/>
      <w:kern w:val="2"/>
    </w:rPr>
  </w:style>
  <w:style w:type="paragraph" w:styleId="Titolo8">
    <w:name w:val="heading 8"/>
    <w:basedOn w:val="Normale"/>
    <w:next w:val="Normale"/>
    <w:link w:val="Titolo8Carattere"/>
    <w:uiPriority w:val="9"/>
    <w:semiHidden/>
    <w:unhideWhenUsed/>
    <w:qFormat/>
    <w:rsid w:val="00A53147"/>
    <w:pPr>
      <w:keepNext/>
      <w:keepLines/>
      <w:spacing w:after="0"/>
      <w:outlineLvl w:val="7"/>
    </w:pPr>
    <w:rPr>
      <w:rFonts w:eastAsiaTheme="majorEastAsia" w:cstheme="majorBidi"/>
      <w:i/>
      <w:iCs/>
      <w:color w:val="272727" w:themeColor="text1" w:themeTint="D8"/>
      <w:kern w:val="2"/>
    </w:rPr>
  </w:style>
  <w:style w:type="paragraph" w:styleId="Titolo9">
    <w:name w:val="heading 9"/>
    <w:basedOn w:val="Normale"/>
    <w:next w:val="Normale"/>
    <w:link w:val="Titolo9Carattere"/>
    <w:uiPriority w:val="9"/>
    <w:semiHidden/>
    <w:unhideWhenUsed/>
    <w:qFormat/>
    <w:rsid w:val="00A53147"/>
    <w:pPr>
      <w:keepNext/>
      <w:keepLines/>
      <w:spacing w:after="0"/>
      <w:outlineLvl w:val="8"/>
    </w:pPr>
    <w:rPr>
      <w:rFonts w:eastAsiaTheme="majorEastAsia" w:cstheme="majorBidi"/>
      <w:color w:val="272727" w:themeColor="text1" w:themeTint="D8"/>
      <w:kern w:val="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A531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1Carattere">
    <w:name w:val="Titolo 1 Carattere"/>
    <w:basedOn w:val="Carpredefinitoparagrafo"/>
    <w:link w:val="Titolo1"/>
    <w:uiPriority w:val="9"/>
    <w:rsid w:val="00A5314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A5314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A5314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A5314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A5314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A5314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5314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5314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53147"/>
    <w:rPr>
      <w:rFonts w:eastAsiaTheme="majorEastAsia" w:cstheme="majorBidi"/>
      <w:color w:val="272727" w:themeColor="text1" w:themeTint="D8"/>
    </w:rPr>
  </w:style>
  <w:style w:type="character" w:customStyle="1" w:styleId="TitoloCarattere">
    <w:name w:val="Titolo Carattere"/>
    <w:basedOn w:val="Carpredefinitoparagrafo"/>
    <w:link w:val="Titolo"/>
    <w:uiPriority w:val="10"/>
    <w:rsid w:val="00A5314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Pr>
      <w:color w:val="595959"/>
      <w:sz w:val="28"/>
      <w:szCs w:val="28"/>
    </w:rPr>
  </w:style>
  <w:style w:type="character" w:customStyle="1" w:styleId="SottotitoloCarattere">
    <w:name w:val="Sottotitolo Carattere"/>
    <w:basedOn w:val="Carpredefinitoparagrafo"/>
    <w:link w:val="Sottotitolo"/>
    <w:uiPriority w:val="11"/>
    <w:rsid w:val="00A5314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A53147"/>
    <w:pPr>
      <w:spacing w:before="160"/>
      <w:jc w:val="center"/>
    </w:pPr>
    <w:rPr>
      <w:i/>
      <w:iCs/>
      <w:color w:val="404040" w:themeColor="text1" w:themeTint="BF"/>
      <w:kern w:val="2"/>
    </w:rPr>
  </w:style>
  <w:style w:type="character" w:customStyle="1" w:styleId="CitazioneCarattere">
    <w:name w:val="Citazione Carattere"/>
    <w:basedOn w:val="Carpredefinitoparagrafo"/>
    <w:link w:val="Citazione"/>
    <w:uiPriority w:val="29"/>
    <w:rsid w:val="00A53147"/>
    <w:rPr>
      <w:i/>
      <w:iCs/>
      <w:color w:val="404040" w:themeColor="text1" w:themeTint="BF"/>
    </w:rPr>
  </w:style>
  <w:style w:type="paragraph" w:styleId="Paragrafoelenco">
    <w:name w:val="List Paragraph"/>
    <w:basedOn w:val="Normale"/>
    <w:uiPriority w:val="34"/>
    <w:qFormat/>
    <w:rsid w:val="00A53147"/>
    <w:pPr>
      <w:ind w:left="720"/>
      <w:contextualSpacing/>
    </w:pPr>
    <w:rPr>
      <w:kern w:val="2"/>
    </w:rPr>
  </w:style>
  <w:style w:type="character" w:styleId="Enfasiintensa">
    <w:name w:val="Intense Emphasis"/>
    <w:basedOn w:val="Carpredefinitoparagrafo"/>
    <w:uiPriority w:val="21"/>
    <w:qFormat/>
    <w:rsid w:val="00A53147"/>
    <w:rPr>
      <w:i/>
      <w:iCs/>
      <w:color w:val="0F4761" w:themeColor="accent1" w:themeShade="BF"/>
    </w:rPr>
  </w:style>
  <w:style w:type="paragraph" w:styleId="Citazioneintensa">
    <w:name w:val="Intense Quote"/>
    <w:basedOn w:val="Normale"/>
    <w:next w:val="Normale"/>
    <w:link w:val="CitazioneintensaCarattere"/>
    <w:uiPriority w:val="30"/>
    <w:qFormat/>
    <w:rsid w:val="00A53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rPr>
  </w:style>
  <w:style w:type="character" w:customStyle="1" w:styleId="CitazioneintensaCarattere">
    <w:name w:val="Citazione intensa Carattere"/>
    <w:basedOn w:val="Carpredefinitoparagrafo"/>
    <w:link w:val="Citazioneintensa"/>
    <w:uiPriority w:val="30"/>
    <w:rsid w:val="00A53147"/>
    <w:rPr>
      <w:i/>
      <w:iCs/>
      <w:color w:val="0F4761" w:themeColor="accent1" w:themeShade="BF"/>
    </w:rPr>
  </w:style>
  <w:style w:type="character" w:styleId="Riferimentointenso">
    <w:name w:val="Intense Reference"/>
    <w:basedOn w:val="Carpredefinitoparagrafo"/>
    <w:uiPriority w:val="32"/>
    <w:qFormat/>
    <w:rsid w:val="00A53147"/>
    <w:rPr>
      <w:b/>
      <w:bCs/>
      <w:smallCaps/>
      <w:color w:val="0F4761" w:themeColor="accent1" w:themeShade="BF"/>
      <w:spacing w:val="5"/>
    </w:rPr>
  </w:style>
  <w:style w:type="paragraph" w:styleId="Testofumetto">
    <w:name w:val="Balloon Text"/>
    <w:basedOn w:val="Normale"/>
    <w:link w:val="TestofumettoCarattere"/>
    <w:uiPriority w:val="99"/>
    <w:semiHidden/>
    <w:unhideWhenUsed/>
    <w:rsid w:val="00571EA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71EAD"/>
    <w:rPr>
      <w:rFonts w:ascii="Tahoma" w:hAnsi="Tahoma" w:cs="Tahoma"/>
      <w:kern w:val="0"/>
      <w:sz w:val="16"/>
      <w:szCs w:val="16"/>
    </w:rPr>
  </w:style>
  <w:style w:type="paragraph" w:customStyle="1" w:styleId="Normale1">
    <w:name w:val="Normale1"/>
    <w:rsid w:val="00B54B82"/>
    <w:pPr>
      <w:spacing w:after="0" w:line="276" w:lineRule="auto"/>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0YLO0iE1JqoWfr3CRD9CZO5oFHQ==">CgMxLjAyCGguZ2pkZ3hzOAByITF2YzhQOXRhWHQ3ZUlraDNnellnZkNQTnhVUERuRWY4eA==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3640</Words>
  <Characters>20751</Characters>
  <Application>Microsoft Office Word</Application>
  <DocSecurity>0</DocSecurity>
  <Lines>172</Lines>
  <Paragraphs>48</Paragraphs>
  <ScaleCrop>false</ScaleCrop>
  <Company/>
  <LinksUpToDate>false</LinksUpToDate>
  <CharactersWithSpaces>24343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Eginardo</dc:creator>
  <cp:lastModifiedBy>Paola Eginardo</cp:lastModifiedBy>
  <cp:revision>2</cp:revision>
  <dcterms:created xsi:type="dcterms:W3CDTF">2025-01-10T15:18:00Z</dcterms:created>
  <dcterms:modified xsi:type="dcterms:W3CDTF">2025-01-10T15:18:00Z</dcterms:modified>
</cp:coreProperties>
</file>