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C88"/>
          <w:sz w:val="22"/>
        </w:rPr>
        <w:t>Management e Scelte Strategiche · Esercitazione del 28 ottobre 2026</w:t>
      </w:r>
    </w:p>
    <w:p>
      <w:r>
        <w:rPr>
          <w:b/>
          <w:color w:val="1F3C88"/>
          <w:sz w:val="32"/>
        </w:rPr>
        <w:t>Misurare un ateneo attraverso i suoi documenti ufficiali: il caso Bicocca</w:t>
      </w:r>
    </w:p>
    <w:p>
      <w:r>
        <w:rPr>
          <w:b w:val="0"/>
          <w:i/>
          <w:sz w:val="19"/>
        </w:rPr>
        <w:t>Fonti: Università di Milano-Bicocca, Piano Integrato di Attività e Organizzazione (PIAO) 2026-2028; Sistema di misurazione e valutazione della performance (CdA 28/01/2025). Si può lavorare individualmente o in piccoli gruppi.</w:t>
      </w:r>
    </w:p>
    <w:p>
      <w:r>
        <w:rPr>
          <w:b w:val="0"/>
          <w:i w:val="0"/>
          <w:sz w:val="21"/>
        </w:rPr>
        <w:t>Nome/i: ______________________________________________________________</w:t>
      </w:r>
    </w:p>
    <w:p>
      <w:r>
        <w:rPr>
          <w:b/>
          <w:color w:val="1F3C88"/>
          <w:sz w:val="28"/>
        </w:rPr>
        <w:t>Compito · Valore pubblico e indicatori chiave di un asse (10.30 – 11.30)</w:t>
      </w:r>
    </w:p>
    <w:p>
      <w:r>
        <w:rPr>
          <w:b w:val="0"/>
          <w:i w:val="0"/>
          <w:sz w:val="21"/>
        </w:rPr>
        <w:t>1. Scegliete almeno due assi tra il 2 e il 7 e individuate il cambiamento che il valore pubblico dell’asse dichiara, e per quali destinatari.</w:t>
      </w:r>
    </w:p>
    <w:p>
      <w:r>
        <w:rPr>
          <w:b w:val="0"/>
          <w:i w:val="0"/>
          <w:sz w:val="21"/>
        </w:rPr>
        <w:t>2. Raccogliete l’indicatore di valore pubblico (VP) e i tre indicatori chiave di Ateneo dello stesso asse.</w:t>
      </w:r>
    </w:p>
    <w:p>
      <w:r>
        <w:rPr>
          <w:b w:val="0"/>
          <w:i w:val="0"/>
          <w:sz w:val="21"/>
        </w:rPr>
        <w:t>3. Classificate ciascun indicatore secondo il livello della catena che misura: input, processo, output, outcome o impatto.</w:t>
      </w:r>
    </w:p>
    <w:p>
      <w:r>
        <w:rPr>
          <w:b w:val="0"/>
          <w:i w:val="0"/>
          <w:sz w:val="21"/>
        </w:rPr>
        <w:t>4. Valutate se l’insieme copre la catena: quali livelli sono rappresentati, quali mancano? L’outcome dichiarato è misurato?</w:t>
      </w:r>
    </w:p>
    <w:p>
      <w:r>
        <w:rPr>
          <w:b w:val="0"/>
          <w:i w:val="0"/>
          <w:sz w:val="21"/>
        </w:rPr>
        <w:t>5. Proponete un indicatore per il livello mancante, indicando la possibile fonte del dato.</w:t>
      </w:r>
    </w:p>
    <w:p>
      <w:r>
        <w:rPr>
          <w:b w:val="0"/>
          <w:i/>
          <w:sz w:val="19"/>
        </w:rPr>
        <w:t>Riferimenti nel PIAO 2026-2028: valore pubblico pp. 18-20 (par. 2.1.4); indicatori chiave di Ateneo pp. 34, 35 e 37 (par. 2.2.2.1).</w:t>
      </w:r>
    </w:p>
    <w:p>
      <w:r>
        <w:rPr>
          <w:b/>
          <w:i w:val="0"/>
          <w:sz w:val="21"/>
        </w:rPr>
        <w:t>Esempio svolto · Asse 8, Salute</w:t>
      </w:r>
    </w:p>
    <w:p>
      <w:r>
        <w:rPr>
          <w:b w:val="0"/>
          <w:i w:val="0"/>
          <w:sz w:val="20"/>
        </w:rPr>
        <w:t>Valore pubblico dichiarato: incrementare il benessere assistenziale, promuovendo la salute pubblica e servizi orientati al benessere della comunità.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1020"/>
        <w:gridCol w:w="1984"/>
        <w:gridCol w:w="1984"/>
        <w:gridCol w:w="4819"/>
      </w:tblGrid>
      <w:tr>
        <w:tc>
          <w:tcPr>
            <w:tcW w:type="dxa" w:w="5102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Indicatore</w:t>
            </w:r>
          </w:p>
        </w:tc>
        <w:tc>
          <w:tcPr>
            <w:tcW w:type="dxa" w:w="1020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Pagina</w:t>
            </w:r>
          </w:p>
        </w:tc>
        <w:tc>
          <w:tcPr>
            <w:tcW w:type="dxa" w:w="1984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Valori</w:t>
            </w:r>
          </w:p>
        </w:tc>
        <w:tc>
          <w:tcPr>
            <w:tcW w:type="dxa" w:w="1984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Livello della catena</w:t>
            </w:r>
          </w:p>
        </w:tc>
        <w:tc>
          <w:tcPr>
            <w:tcW w:type="dxa" w:w="4819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Commento</w:t>
            </w:r>
          </w:p>
        </w:tc>
      </w:tr>
      <w:tr>
        <w:trPr>
          <w:trHeight w:val="340"/>
        </w:trPr>
        <w:tc>
          <w:tcPr>
            <w:tcW w:type="dxa" w:w="5102"/>
          </w:tcPr>
          <w:p>
            <w:r/>
            <w:r>
              <w:rPr>
                <w:b/>
                <w:sz w:val="20"/>
              </w:rPr>
              <w:t>VP · Utenti dei servizi del Presidio sanitario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20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120 → 180 (2028)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Output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Volume di utilizzo, non effetto sulla salute</w:t>
            </w:r>
          </w:p>
        </w:tc>
      </w:tr>
      <w:tr>
        <w:trPr>
          <w:trHeight w:val="340"/>
        </w:trPr>
        <w:tc>
          <w:tcPr>
            <w:tcW w:type="dxa" w:w="5102"/>
          </w:tcPr>
          <w:p>
            <w:r/>
            <w:r>
              <w:rPr>
                <w:b/>
                <w:sz w:val="20"/>
              </w:rPr>
              <w:t>K8.1 Iniziative di promozione della salute attivate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1 → 2 → 2 → 3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Processo / output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Misura l’attività svolta</w:t>
            </w:r>
          </w:p>
        </w:tc>
      </w:tr>
      <w:tr>
        <w:trPr>
          <w:trHeight w:val="340"/>
        </w:trPr>
        <w:tc>
          <w:tcPr>
            <w:tcW w:type="dxa" w:w="5102"/>
          </w:tcPr>
          <w:p>
            <w:r/>
            <w:r>
              <w:rPr>
                <w:b/>
                <w:sz w:val="20"/>
              </w:rPr>
              <w:t>K8.2 % utenti dei servizi di welfare e campus con soddisfazione positiva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n.d. → 50% → 70%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Outcome intermedio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Qualità percepita del servizio</w:t>
            </w:r>
          </w:p>
        </w:tc>
      </w:tr>
    </w:tbl>
    <w:p>
      <w:r>
        <w:rPr>
          <w:b w:val="0"/>
          <w:i w:val="0"/>
          <w:sz w:val="20"/>
        </w:rPr>
        <w:t>Copertura della catena: processo, output e qualità percepita sono misurati; mancano le risorse impiegate e un outcome di salute. Indicatore proposto: % di utenti che aderiscono a uno screening o modificano un comportamento a rischio (fonte: indagine di follow-up presso gli utenti).</w:t>
      </w:r>
    </w:p>
    <w:p>
      <w:r>
        <w:br w:type="page"/>
      </w:r>
    </w:p>
    <w:p>
      <w:r>
        <w:rPr>
          <w:b/>
          <w:color w:val="1F3C88"/>
          <w:sz w:val="28"/>
        </w:rPr>
        <w:t>Gli indicatori degli assi 2-7 (PIAO 2026-2028)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0"/>
        <w:gridCol w:w="8505"/>
        <w:gridCol w:w="1020"/>
        <w:gridCol w:w="4309"/>
      </w:tblGrid>
      <w:tr>
        <w:tc>
          <w:tcPr>
            <w:tcW w:type="dxa" w:w="1020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Codice</w:t>
            </w:r>
          </w:p>
        </w:tc>
        <w:tc>
          <w:tcPr>
            <w:tcW w:type="dxa" w:w="8504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Indicatore</w:t>
            </w:r>
          </w:p>
        </w:tc>
        <w:tc>
          <w:tcPr>
            <w:tcW w:type="dxa" w:w="1020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Pagina</w:t>
            </w:r>
          </w:p>
        </w:tc>
        <w:tc>
          <w:tcPr>
            <w:tcW w:type="dxa" w:w="4309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Baseline → target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2 · Didattica e diritti della popolazione studentesca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Incremento progetti didattici a supporto di studenti non tradizionali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18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Disponibile 2026 → +30% (2028)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K2.1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studenti che proseguono al II anno nello stesso ateneo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87,6% → ≥ 80%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K2.2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studenti, tra chi ha partecipato all’indagine, soddisfatti dell’accessibilità del campus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10,6% → 13%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K2.3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Ore di formazione per il personale docente neoassunto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 → 10 → 15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3 · Alta formazione e percorsi di eccellenza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borse di dottorato finanziate da enti e aziende esterne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19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27% → +5% l’anno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K3.1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Tasso di occupazione dei diplomati Master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85,8% → 87%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K3.2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Soddisfazione complessiva per l’esperienza di dottorato (scala 1-10)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7,2 → ± 2%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K3.3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Collaborazioni interne (centri, laboratori, dipartimenti)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 → 14% → 18 → 22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4 · Ricerca, sviluppo e impatto sociale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Incremento brevetti concessi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19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14 → +1, +2, +2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K4.1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Tasso di successo a bandi internazionali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18% (42 su 229) → +2% l’anno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K4.2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Soddisfazione degli stakeholder per le azioni di public engagement (scala 1-5)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n.d. → ≥ 3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K4.3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Joint Labs operativi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4 → +1, +2, +2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5 · Sviluppo internazionale e collaborazione accademica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iscritti al primo anno con titolo d’accesso estero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19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1,0% → 3,5%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K5.1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studenti in mobilità internazionale in uscita sul totale degli iscritti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2,88% → 3,46%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K5.2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Soddisfazione per il supporto all’internazionalizzazione (scala 1-6)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3,56 → ≥ 3,90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K5.3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insegnamenti erogati in lingua estera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13,5% → 17,5%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6 · Risorse umane e benessere nella comunità accademica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azioni del Piano per la parità di genere completate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20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40% → 30% (2026, 2027)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K6.1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Piani personalizzati di adattamento del lavoro (work accommodation)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 → 10 l’anno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K6.2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Benessere organizzativo: sezioni dell’indagine con giudizio medio &gt; 3,5 (scala 1-6)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10 sezioni → ≥ media del triennio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K6.3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Risorse per la formazione del personale tecnico-amministrativo per addetto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917,96 → 394,96</w:t>
            </w:r>
          </w:p>
        </w:tc>
      </w:tr>
      <w:tr>
        <w:trPr>
          <w:trHeight w:val="238"/>
        </w:trPr>
        <w:tc>
          <w:tcPr>
            <w:tcW w:type="dxa" w:w="14853"/>
            <w:gridSpan w:val="4"/>
            <w:shd w:val="clear" w:color="auto" w:fill="E8EBF2"/>
          </w:tcPr>
          <w:p>
            <w:r>
              <w:rPr>
                <w:b/>
                <w:color w:val="1F3C88"/>
              </w:rPr>
            </w:r>
            <w:r>
              <w:rPr>
                <w:b/>
                <w:color w:val="1F3C88"/>
                <w:sz w:val="20"/>
              </w:rPr>
              <w:t>Asse 7 · Innovazione sostenibile e trasformazione digitale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VP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superficie verde rinnovata, de-impermeabilizzata e in ampliamento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20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0% → 80% (2028)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K7.1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Partecipanti alle videolezioni su intelligenza artificiale generativa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34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 → 10.000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K7.2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Soddisfazione per i servizi di sostenibilità ambientale (scala 1-6)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35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3,80 → ≥ 4,00</w:t>
            </w:r>
          </w:p>
        </w:tc>
      </w:tr>
      <w:tr>
        <w:trPr>
          <w:trHeight w:val="238"/>
        </w:trPr>
        <w:tc>
          <w:tcPr>
            <w:tcW w:type="dxa" w:w="1020"/>
          </w:tcPr>
          <w:p>
            <w:r/>
            <w:r>
              <w:rPr>
                <w:b/>
                <w:sz w:val="20"/>
              </w:rPr>
              <w:t>K7.3</w:t>
            </w:r>
          </w:p>
        </w:tc>
        <w:tc>
          <w:tcPr>
            <w:tcW w:type="dxa" w:w="8504"/>
          </w:tcPr>
          <w:p>
            <w:r/>
            <w:r>
              <w:rPr>
                <w:sz w:val="20"/>
              </w:rPr>
              <w:t>% azioni attuate del Piano spostamenti casa-lavoro</w:t>
            </w:r>
          </w:p>
        </w:tc>
        <w:tc>
          <w:tcPr>
            <w:tcW w:type="dxa" w:w="1020"/>
          </w:tcPr>
          <w:p>
            <w:r/>
            <w:r>
              <w:rPr>
                <w:sz w:val="20"/>
              </w:rPr>
              <w:t>p. 37</w:t>
            </w:r>
          </w:p>
        </w:tc>
        <w:tc>
          <w:tcPr>
            <w:tcW w:type="dxa" w:w="4309"/>
          </w:tcPr>
          <w:p>
            <w:r/>
            <w:r>
              <w:rPr>
                <w:sz w:val="20"/>
              </w:rPr>
              <w:t>0% → 30%</w:t>
            </w:r>
          </w:p>
        </w:tc>
      </w:tr>
    </w:tbl>
    <w:p>
      <w:r>
        <w:br w:type="page"/>
      </w:r>
    </w:p>
    <w:p>
      <w:r>
        <w:rPr>
          <w:b/>
          <w:color w:val="1F3C88"/>
          <w:sz w:val="28"/>
        </w:rPr>
        <w:t>Tabella da compilare · asse 1</w:t>
      </w:r>
    </w:p>
    <w:p>
      <w:r>
        <w:rPr>
          <w:b w:val="0"/>
          <w:i w:val="0"/>
          <w:sz w:val="21"/>
        </w:rPr>
        <w:t>Asse scelto: ______________________   Valore pubblico dichiarato: 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8788"/>
      </w:tblGrid>
      <w:tr>
        <w:tc>
          <w:tcPr>
            <w:tcW w:type="dxa" w:w="3402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Indicatore</w:t>
            </w:r>
          </w:p>
        </w:tc>
        <w:tc>
          <w:tcPr>
            <w:tcW w:type="dxa" w:w="2835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Livello della catena</w:t>
            </w:r>
          </w:p>
        </w:tc>
        <w:tc>
          <w:tcPr>
            <w:tcW w:type="dxa" w:w="8787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Che cosa misura effettivamente</w:t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Valore pubblico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Livelli coperti e livelli mancanti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Indicatore proposto e fonte del dato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r>
        <w:rPr>
          <w:b/>
          <w:color w:val="1F3C88"/>
          <w:sz w:val="28"/>
        </w:rPr>
        <w:t>Tabella da compilare · asse 2</w:t>
      </w:r>
    </w:p>
    <w:p>
      <w:r>
        <w:rPr>
          <w:b w:val="0"/>
          <w:i w:val="0"/>
          <w:sz w:val="21"/>
        </w:rPr>
        <w:t>Asse scelto: ______________________   Valore pubblico dichiarato: 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8788"/>
      </w:tblGrid>
      <w:tr>
        <w:tc>
          <w:tcPr>
            <w:tcW w:type="dxa" w:w="3402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Indicatore</w:t>
            </w:r>
          </w:p>
        </w:tc>
        <w:tc>
          <w:tcPr>
            <w:tcW w:type="dxa" w:w="2835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Livello della catena</w:t>
            </w:r>
          </w:p>
        </w:tc>
        <w:tc>
          <w:tcPr>
            <w:tcW w:type="dxa" w:w="8787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Che cosa misura effettivamente</w:t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Valore pubblico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Livelli coperti e livelli mancanti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Indicatore proposto e fonte del dato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r>
        <w:rPr>
          <w:b/>
          <w:color w:val="1F3C88"/>
          <w:sz w:val="28"/>
        </w:rPr>
        <w:t>Tabella da compilare · asse 3 (facoltativo)</w:t>
      </w:r>
    </w:p>
    <w:p>
      <w:r>
        <w:rPr>
          <w:b w:val="0"/>
          <w:i w:val="0"/>
          <w:sz w:val="21"/>
        </w:rPr>
        <w:t>Asse scelto: ______________________   Valore pubblico dichiarato: 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2835"/>
        <w:gridCol w:w="8788"/>
      </w:tblGrid>
      <w:tr>
        <w:tc>
          <w:tcPr>
            <w:tcW w:type="dxa" w:w="3402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Indicatore</w:t>
            </w:r>
          </w:p>
        </w:tc>
        <w:tc>
          <w:tcPr>
            <w:tcW w:type="dxa" w:w="2835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Livello della catena</w:t>
            </w:r>
          </w:p>
        </w:tc>
        <w:tc>
          <w:tcPr>
            <w:tcW w:type="dxa" w:w="8787"/>
            <w:shd w:val="clear" w:color="auto" w:fill="1F3C88"/>
          </w:tcPr>
          <w:p>
            <w:r/>
            <w:r>
              <w:rPr>
                <w:b/>
                <w:color w:val="FFFFFF"/>
                <w:sz w:val="20"/>
              </w:rPr>
              <w:t>Che cosa misura effettivamente</w:t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Valore pubblico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.1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.2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K _ .3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878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Livelli coperti e livelli mancanti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3402"/>
          </w:tcPr>
          <w:p>
            <w:r/>
            <w:r>
              <w:rPr>
                <w:b/>
                <w:sz w:val="20"/>
              </w:rPr>
              <w:t>Indicatore proposto e fonte del dato</w:t>
            </w:r>
          </w:p>
        </w:tc>
        <w:tc>
          <w:tcPr>
            <w:tcW w:type="dxa" w:w="11622"/>
            <w:gridSpan w:val="2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