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9B53C" w14:textId="44FE102E" w:rsidR="00B218E1" w:rsidRPr="0096208E" w:rsidRDefault="001F6053" w:rsidP="00972180">
      <w:pPr>
        <w:spacing w:before="240" w:line="276" w:lineRule="auto"/>
        <w:rPr>
          <w:rFonts w:ascii="Verdana" w:hAnsi="Verdana"/>
          <w:sz w:val="22"/>
        </w:rPr>
      </w:pPr>
      <w:r w:rsidRPr="001F6053">
        <w:rPr>
          <w:rFonts w:ascii="Verdana" w:hAnsi="Verdana"/>
          <w:color w:val="FF0000"/>
          <w:sz w:val="22"/>
        </w:rPr>
        <w:t>LEGGERE CON ATTENZIONE</w:t>
      </w:r>
      <w:r>
        <w:rPr>
          <w:rFonts w:ascii="Verdana" w:hAnsi="Verdana"/>
          <w:sz w:val="22"/>
        </w:rPr>
        <w:t xml:space="preserve">: </w:t>
      </w:r>
      <w:r w:rsidR="002A22BF" w:rsidRPr="0096208E">
        <w:rPr>
          <w:rFonts w:ascii="Verdana" w:hAnsi="Verdana"/>
          <w:sz w:val="22"/>
        </w:rPr>
        <w:t xml:space="preserve">Informazioni </w:t>
      </w:r>
      <w:bookmarkStart w:id="0" w:name="_GoBack"/>
      <w:r w:rsidR="002A22BF" w:rsidRPr="0096208E">
        <w:rPr>
          <w:rFonts w:ascii="Verdana" w:hAnsi="Verdana"/>
          <w:sz w:val="22"/>
        </w:rPr>
        <w:t xml:space="preserve">per studenti di PCSN che </w:t>
      </w:r>
      <w:r w:rsidR="002A22BF" w:rsidRPr="0096208E">
        <w:rPr>
          <w:rFonts w:ascii="Verdana" w:hAnsi="Verdana"/>
          <w:sz w:val="22"/>
          <w:u w:val="single"/>
        </w:rPr>
        <w:t>devono ancora frequentare</w:t>
      </w:r>
      <w:r w:rsidR="002A22BF" w:rsidRPr="0096208E">
        <w:rPr>
          <w:rFonts w:ascii="Verdana" w:hAnsi="Verdana"/>
          <w:sz w:val="22"/>
        </w:rPr>
        <w:t xml:space="preserve"> i laboratori inseriti nel p</w:t>
      </w:r>
      <w:r w:rsidR="0096208E">
        <w:rPr>
          <w:rFonts w:ascii="Verdana" w:hAnsi="Verdana"/>
          <w:sz w:val="22"/>
        </w:rPr>
        <w:t>ia</w:t>
      </w:r>
      <w:r w:rsidR="002A22BF" w:rsidRPr="0096208E">
        <w:rPr>
          <w:rFonts w:ascii="Verdana" w:hAnsi="Verdana"/>
          <w:sz w:val="22"/>
        </w:rPr>
        <w:t>no di studi non</w:t>
      </w:r>
      <w:r w:rsidR="0096208E">
        <w:rPr>
          <w:rFonts w:ascii="Verdana" w:hAnsi="Verdana"/>
          <w:sz w:val="22"/>
        </w:rPr>
        <w:t xml:space="preserve"> </w:t>
      </w:r>
      <w:r w:rsidR="00136BBF">
        <w:rPr>
          <w:rFonts w:ascii="Verdana" w:hAnsi="Verdana"/>
          <w:sz w:val="22"/>
        </w:rPr>
        <w:t>frequentati lo scorso aa 2016</w:t>
      </w:r>
      <w:r w:rsidR="002A22BF" w:rsidRPr="0096208E">
        <w:rPr>
          <w:rFonts w:ascii="Verdana" w:hAnsi="Verdana"/>
          <w:sz w:val="22"/>
        </w:rPr>
        <w:t>/</w:t>
      </w:r>
      <w:proofErr w:type="gramStart"/>
      <w:r w:rsidR="002A22BF" w:rsidRPr="0096208E">
        <w:rPr>
          <w:rFonts w:ascii="Verdana" w:hAnsi="Verdana"/>
          <w:sz w:val="22"/>
        </w:rPr>
        <w:t>2017</w:t>
      </w:r>
      <w:bookmarkEnd w:id="0"/>
      <w:proofErr w:type="gramEnd"/>
    </w:p>
    <w:p w14:paraId="2804E708" w14:textId="7E86B32B" w:rsidR="002A22BF" w:rsidRPr="00F165EE" w:rsidRDefault="002A22BF" w:rsidP="00F165EE">
      <w:pPr>
        <w:pStyle w:val="Paragrafoelenco"/>
        <w:numPr>
          <w:ilvl w:val="0"/>
          <w:numId w:val="4"/>
        </w:numPr>
        <w:spacing w:before="240" w:line="276" w:lineRule="auto"/>
        <w:rPr>
          <w:rFonts w:ascii="Verdana" w:hAnsi="Verdana"/>
          <w:b/>
          <w:caps/>
          <w:sz w:val="22"/>
        </w:rPr>
      </w:pPr>
      <w:proofErr w:type="gramStart"/>
      <w:r w:rsidRPr="00F165EE">
        <w:rPr>
          <w:rFonts w:ascii="Verdana" w:hAnsi="Verdana"/>
          <w:sz w:val="22"/>
        </w:rPr>
        <w:t>laboratori</w:t>
      </w:r>
      <w:proofErr w:type="gramEnd"/>
      <w:r w:rsidRPr="00F165EE">
        <w:rPr>
          <w:rFonts w:ascii="Verdana" w:hAnsi="Verdana"/>
          <w:sz w:val="22"/>
        </w:rPr>
        <w:t xml:space="preserve"> di </w:t>
      </w:r>
      <w:r w:rsidRPr="00F165EE">
        <w:rPr>
          <w:rFonts w:ascii="Verdana" w:hAnsi="Verdana"/>
          <w:b/>
          <w:sz w:val="22"/>
        </w:rPr>
        <w:t>DEONTOLOGIA</w:t>
      </w:r>
      <w:r w:rsidRPr="00F165EE">
        <w:rPr>
          <w:rFonts w:ascii="Verdana" w:hAnsi="Verdana"/>
          <w:sz w:val="22"/>
        </w:rPr>
        <w:t xml:space="preserve">, </w:t>
      </w:r>
      <w:r w:rsidRPr="00F165EE">
        <w:rPr>
          <w:rFonts w:ascii="Verdana" w:hAnsi="Verdana"/>
          <w:b/>
          <w:bCs/>
          <w:caps/>
          <w:sz w:val="22"/>
        </w:rPr>
        <w:t>Mindfulness nella promozione del benessere</w:t>
      </w:r>
      <w:r w:rsidRPr="00F165EE">
        <w:rPr>
          <w:rFonts w:ascii="Verdana" w:hAnsi="Verdana"/>
          <w:sz w:val="22"/>
        </w:rPr>
        <w:t xml:space="preserve">, </w:t>
      </w:r>
      <w:r w:rsidRPr="00F165EE">
        <w:rPr>
          <w:rFonts w:ascii="Verdana" w:hAnsi="Verdana"/>
          <w:b/>
          <w:caps/>
          <w:sz w:val="22"/>
        </w:rPr>
        <w:t xml:space="preserve">Emozioni e qualità delle relazioni </w:t>
      </w:r>
    </w:p>
    <w:p w14:paraId="5A32334A" w14:textId="57B8CF57" w:rsidR="003E7CB6" w:rsidRPr="0096208E" w:rsidRDefault="002A22BF" w:rsidP="00972180">
      <w:pPr>
        <w:spacing w:before="240" w:line="276" w:lineRule="auto"/>
        <w:rPr>
          <w:rFonts w:ascii="Verdana" w:hAnsi="Verdana"/>
          <w:sz w:val="22"/>
        </w:rPr>
      </w:pPr>
      <w:r w:rsidRPr="0096208E">
        <w:rPr>
          <w:rFonts w:ascii="Verdana" w:hAnsi="Verdana"/>
          <w:sz w:val="22"/>
        </w:rPr>
        <w:t xml:space="preserve">questi laboratori sono stati </w:t>
      </w:r>
      <w:r w:rsidRPr="00136BBF">
        <w:rPr>
          <w:rFonts w:ascii="Verdana" w:hAnsi="Verdana"/>
          <w:sz w:val="22"/>
          <w:u w:val="single"/>
        </w:rPr>
        <w:t>disattivati</w:t>
      </w:r>
      <w:r w:rsidRPr="0096208E">
        <w:rPr>
          <w:rFonts w:ascii="Verdana" w:hAnsi="Verdana"/>
          <w:sz w:val="22"/>
        </w:rPr>
        <w:t xml:space="preserve">: contattare </w:t>
      </w:r>
      <w:r w:rsidR="00CE5F15" w:rsidRPr="0096208E">
        <w:rPr>
          <w:rFonts w:ascii="Verdana" w:hAnsi="Verdana"/>
          <w:sz w:val="22"/>
        </w:rPr>
        <w:t>ENTRO E NON OLTRE IL 26/09/2017</w:t>
      </w:r>
      <w:r w:rsidRPr="0096208E">
        <w:rPr>
          <w:rFonts w:ascii="Verdana" w:hAnsi="Verdana"/>
          <w:sz w:val="22"/>
        </w:rPr>
        <w:t xml:space="preserve"> la Prof.ssa Nadia Bolognini (</w:t>
      </w:r>
      <w:hyperlink r:id="rId6" w:history="1">
        <w:r w:rsidRPr="0096208E">
          <w:rPr>
            <w:rStyle w:val="Collegamentoipertestuale"/>
            <w:rFonts w:ascii="Verdana" w:hAnsi="Verdana"/>
            <w:sz w:val="22"/>
          </w:rPr>
          <w:t>nadia.bolognini@unimib.it</w:t>
        </w:r>
      </w:hyperlink>
      <w:r w:rsidRPr="0096208E">
        <w:rPr>
          <w:rFonts w:ascii="Verdana" w:hAnsi="Verdana"/>
          <w:sz w:val="22"/>
        </w:rPr>
        <w:t xml:space="preserve">) per effettuare il cambio di laboratorio ed essere inseriti in </w:t>
      </w:r>
      <w:r w:rsidR="0096208E">
        <w:rPr>
          <w:rFonts w:ascii="Verdana" w:hAnsi="Verdana"/>
          <w:sz w:val="22"/>
        </w:rPr>
        <w:t>un laboratorio attivo</w:t>
      </w:r>
      <w:r w:rsidRPr="0096208E">
        <w:rPr>
          <w:rFonts w:ascii="Verdana" w:hAnsi="Verdana"/>
          <w:sz w:val="22"/>
        </w:rPr>
        <w:t xml:space="preserve"> </w:t>
      </w:r>
      <w:r w:rsidR="0096208E">
        <w:rPr>
          <w:rFonts w:ascii="Verdana" w:hAnsi="Verdana"/>
          <w:sz w:val="22"/>
        </w:rPr>
        <w:t xml:space="preserve">in questo anno accademico </w:t>
      </w:r>
      <w:r w:rsidRPr="0096208E">
        <w:rPr>
          <w:rFonts w:ascii="Verdana" w:hAnsi="Verdana"/>
          <w:sz w:val="22"/>
        </w:rPr>
        <w:t>per il corso di laura di PCN (</w:t>
      </w:r>
      <w:r w:rsidR="00CA7599" w:rsidRPr="0096208E">
        <w:rPr>
          <w:rFonts w:ascii="Verdana" w:hAnsi="Verdana"/>
          <w:sz w:val="22"/>
        </w:rPr>
        <w:t>PSICOLOGIA CLINICA E NEUROPSICOLOGIA NEL CICLO DI VITA</w:t>
      </w:r>
      <w:r w:rsidR="00CE5F15" w:rsidRPr="0096208E">
        <w:rPr>
          <w:rFonts w:ascii="Verdana" w:hAnsi="Verdana"/>
          <w:sz w:val="22"/>
        </w:rPr>
        <w:t xml:space="preserve">). </w:t>
      </w:r>
    </w:p>
    <w:p w14:paraId="55BEB785" w14:textId="0DFC7B64" w:rsidR="0096208E" w:rsidRDefault="00CE5F15" w:rsidP="00972180">
      <w:pPr>
        <w:spacing w:before="240" w:line="276" w:lineRule="auto"/>
        <w:rPr>
          <w:rFonts w:ascii="Verdana" w:hAnsi="Verdana"/>
          <w:sz w:val="22"/>
        </w:rPr>
      </w:pPr>
      <w:proofErr w:type="gramStart"/>
      <w:r w:rsidRPr="0096208E">
        <w:rPr>
          <w:rFonts w:ascii="Verdana" w:hAnsi="Verdana"/>
          <w:sz w:val="22"/>
        </w:rPr>
        <w:t>ATTEN</w:t>
      </w:r>
      <w:r w:rsidR="0096208E">
        <w:rPr>
          <w:rFonts w:ascii="Verdana" w:hAnsi="Verdana"/>
          <w:sz w:val="22"/>
        </w:rPr>
        <w:t>Z</w:t>
      </w:r>
      <w:r w:rsidRPr="0096208E">
        <w:rPr>
          <w:rFonts w:ascii="Verdana" w:hAnsi="Verdana"/>
          <w:sz w:val="22"/>
        </w:rPr>
        <w:t xml:space="preserve">IONE: Nella mail indirizzata alla Prof.ssa Bolognini mettere in oggetto: </w:t>
      </w:r>
      <w:r w:rsidRPr="0096208E">
        <w:rPr>
          <w:rFonts w:ascii="Verdana" w:hAnsi="Verdana"/>
          <w:b/>
          <w:sz w:val="22"/>
        </w:rPr>
        <w:t>cambio lab disattivato di PCSN</w:t>
      </w:r>
      <w:r w:rsidR="00F165EE">
        <w:rPr>
          <w:rFonts w:ascii="Verdana" w:hAnsi="Verdana"/>
          <w:b/>
          <w:sz w:val="22"/>
        </w:rPr>
        <w:t xml:space="preserve">, </w:t>
      </w:r>
      <w:r w:rsidR="00F165EE">
        <w:rPr>
          <w:rFonts w:ascii="Verdana" w:hAnsi="Verdana"/>
          <w:sz w:val="22"/>
        </w:rPr>
        <w:t>specificando nel testo NOME, COGNOME, N° DI MATRICOLA, LABORATORIO INSERITO NEL PIANO DI STUDI, NUOVO LABORATORIO CHE SI VUOLE FREQUENTARE.</w:t>
      </w:r>
      <w:proofErr w:type="gramEnd"/>
      <w:r w:rsidR="00F165EE">
        <w:rPr>
          <w:rFonts w:ascii="Verdana" w:hAnsi="Verdana"/>
          <w:sz w:val="22"/>
        </w:rPr>
        <w:t xml:space="preserve"> L’ELENCO DEI LABORATORI ATTIVI QUEST’ANNO è INDICATO </w:t>
      </w:r>
      <w:r w:rsidR="00136BBF">
        <w:rPr>
          <w:rFonts w:ascii="Verdana" w:hAnsi="Verdana"/>
          <w:sz w:val="22"/>
        </w:rPr>
        <w:t>IN FONDO ALLA</w:t>
      </w:r>
      <w:r w:rsidR="00F165EE">
        <w:rPr>
          <w:rFonts w:ascii="Verdana" w:hAnsi="Verdana"/>
          <w:sz w:val="22"/>
        </w:rPr>
        <w:t xml:space="preserve"> </w:t>
      </w:r>
      <w:proofErr w:type="gramStart"/>
      <w:r w:rsidR="00F165EE">
        <w:rPr>
          <w:rFonts w:ascii="Verdana" w:hAnsi="Verdana"/>
          <w:sz w:val="22"/>
        </w:rPr>
        <w:t>PAGINA</w:t>
      </w:r>
      <w:proofErr w:type="gramEnd"/>
    </w:p>
    <w:p w14:paraId="6950D828" w14:textId="27A1FAA0" w:rsidR="00F165EE" w:rsidRPr="00136BBF" w:rsidRDefault="00F165EE" w:rsidP="00972180">
      <w:pPr>
        <w:spacing w:before="240" w:line="276" w:lineRule="auto"/>
        <w:rPr>
          <w:rFonts w:ascii="Verdana" w:hAnsi="Verdana"/>
          <w:sz w:val="22"/>
        </w:rPr>
      </w:pPr>
      <w:r w:rsidRPr="00F165EE">
        <w:rPr>
          <w:rFonts w:ascii="Verdana" w:hAnsi="Verdana"/>
          <w:sz w:val="22"/>
        </w:rPr>
        <w:t xml:space="preserve">Nella sezione ‘AVVISI’ </w:t>
      </w:r>
      <w:r w:rsidR="00136BBF">
        <w:rPr>
          <w:rFonts w:ascii="Verdana" w:hAnsi="Verdana"/>
          <w:sz w:val="22"/>
        </w:rPr>
        <w:t xml:space="preserve">della </w:t>
      </w:r>
      <w:r w:rsidR="00136BBF" w:rsidRPr="0096208E">
        <w:rPr>
          <w:rFonts w:ascii="Verdana" w:hAnsi="Verdana"/>
          <w:sz w:val="22"/>
        </w:rPr>
        <w:t xml:space="preserve">pagina di e-learning di </w:t>
      </w:r>
      <w:r w:rsidR="00136BBF">
        <w:rPr>
          <w:rFonts w:ascii="Verdana" w:hAnsi="Verdana"/>
          <w:sz w:val="22"/>
        </w:rPr>
        <w:t xml:space="preserve">PCSN-2° anno e di </w:t>
      </w:r>
      <w:r w:rsidR="00136BBF" w:rsidRPr="0096208E">
        <w:rPr>
          <w:rFonts w:ascii="Verdana" w:hAnsi="Verdana"/>
          <w:sz w:val="22"/>
        </w:rPr>
        <w:t xml:space="preserve">PCN- 2° anno </w:t>
      </w:r>
      <w:r>
        <w:rPr>
          <w:rFonts w:ascii="Verdana" w:hAnsi="Verdana"/>
          <w:sz w:val="22"/>
        </w:rPr>
        <w:t xml:space="preserve">è disponibile il </w:t>
      </w:r>
      <w:r w:rsidRPr="00F165EE">
        <w:rPr>
          <w:rFonts w:ascii="Verdana" w:hAnsi="Verdana"/>
          <w:sz w:val="22"/>
        </w:rPr>
        <w:t>calendario con orari e date dei lab</w:t>
      </w:r>
      <w:r>
        <w:rPr>
          <w:rFonts w:ascii="Verdana" w:hAnsi="Verdana"/>
          <w:sz w:val="22"/>
        </w:rPr>
        <w:t xml:space="preserve"> di PCN del primo semestre</w:t>
      </w:r>
      <w:r w:rsidRPr="00F165EE">
        <w:rPr>
          <w:rFonts w:ascii="Verdana" w:hAnsi="Verdana"/>
          <w:sz w:val="22"/>
        </w:rPr>
        <w:t xml:space="preserve">; il calendario </w:t>
      </w:r>
      <w:r>
        <w:rPr>
          <w:rFonts w:ascii="Verdana" w:hAnsi="Verdana"/>
          <w:sz w:val="22"/>
        </w:rPr>
        <w:t xml:space="preserve">dei laboratori del 2° semestre </w:t>
      </w:r>
      <w:r w:rsidRPr="00F165EE">
        <w:rPr>
          <w:rFonts w:ascii="Verdana" w:hAnsi="Verdana"/>
          <w:sz w:val="22"/>
        </w:rPr>
        <w:t xml:space="preserve">non sarà disponibile prima di Febbraio </w:t>
      </w:r>
      <w:proofErr w:type="gramStart"/>
      <w:r w:rsidRPr="00F165EE">
        <w:rPr>
          <w:rFonts w:ascii="Verdana" w:hAnsi="Verdana"/>
          <w:sz w:val="22"/>
        </w:rPr>
        <w:t>2018</w:t>
      </w:r>
      <w:proofErr w:type="gramEnd"/>
    </w:p>
    <w:p w14:paraId="7714DB8A" w14:textId="5023177F" w:rsidR="00297BA6" w:rsidRPr="00F165EE" w:rsidRDefault="00CE5F15" w:rsidP="00F165EE">
      <w:pPr>
        <w:pStyle w:val="Paragrafoelenco"/>
        <w:numPr>
          <w:ilvl w:val="0"/>
          <w:numId w:val="4"/>
        </w:numPr>
        <w:spacing w:before="240" w:line="276" w:lineRule="auto"/>
        <w:rPr>
          <w:rFonts w:ascii="Verdana" w:hAnsi="Verdana"/>
          <w:sz w:val="22"/>
        </w:rPr>
      </w:pPr>
      <w:r w:rsidRPr="00F165EE">
        <w:rPr>
          <w:rFonts w:ascii="Verdana" w:hAnsi="Verdana"/>
          <w:sz w:val="22"/>
        </w:rPr>
        <w:t>Laboratorio di</w:t>
      </w:r>
      <w:r w:rsidR="00B218E1" w:rsidRPr="00F165EE">
        <w:rPr>
          <w:rFonts w:ascii="Verdana" w:hAnsi="Verdana"/>
          <w:sz w:val="22"/>
        </w:rPr>
        <w:t xml:space="preserve"> </w:t>
      </w:r>
      <w:r w:rsidR="00297BA6" w:rsidRPr="00F165EE">
        <w:rPr>
          <w:rFonts w:ascii="Verdana" w:hAnsi="Verdana"/>
          <w:b/>
          <w:bCs/>
          <w:caps/>
          <w:sz w:val="22"/>
        </w:rPr>
        <w:t>Strumenti di valutazione delle competenze e dei disturbi linguistici</w:t>
      </w:r>
      <w:r w:rsidR="004E1446" w:rsidRPr="00F165EE">
        <w:rPr>
          <w:rFonts w:ascii="Verdana" w:hAnsi="Verdana"/>
          <w:b/>
          <w:bCs/>
          <w:caps/>
          <w:sz w:val="22"/>
        </w:rPr>
        <w:t xml:space="preserve"> (mutuato da PSPE)</w:t>
      </w:r>
      <w:r w:rsidR="004E1446" w:rsidRPr="00F165EE">
        <w:rPr>
          <w:rFonts w:ascii="Verdana" w:hAnsi="Verdana"/>
          <w:sz w:val="22"/>
        </w:rPr>
        <w:t xml:space="preserve">: contattare il prima possibile la prof.ssa Laura Zampini </w:t>
      </w:r>
      <w:hyperlink r:id="rId7" w:history="1">
        <w:r w:rsidR="004E1446" w:rsidRPr="00F165EE">
          <w:rPr>
            <w:rStyle w:val="Collegamentoipertestuale"/>
            <w:rFonts w:ascii="Verdana" w:hAnsi="Verdana"/>
            <w:sz w:val="22"/>
          </w:rPr>
          <w:t>laura.zampini1@unimib.it</w:t>
        </w:r>
      </w:hyperlink>
      <w:r w:rsidR="004E1446" w:rsidRPr="00F165EE">
        <w:rPr>
          <w:rFonts w:ascii="Verdana" w:hAnsi="Verdana"/>
          <w:sz w:val="22"/>
        </w:rPr>
        <w:t xml:space="preserve"> per iscriversi e frequentare il lab </w:t>
      </w:r>
    </w:p>
    <w:p w14:paraId="184A0BD9" w14:textId="66350579" w:rsidR="0096208E" w:rsidRDefault="004E1446" w:rsidP="00F165EE">
      <w:pPr>
        <w:pStyle w:val="Paragrafoelenco"/>
        <w:numPr>
          <w:ilvl w:val="0"/>
          <w:numId w:val="4"/>
        </w:numPr>
        <w:spacing w:before="240" w:line="276" w:lineRule="auto"/>
        <w:rPr>
          <w:rFonts w:ascii="Verdana" w:hAnsi="Verdana"/>
          <w:sz w:val="22"/>
        </w:rPr>
      </w:pPr>
      <w:r w:rsidRPr="00F165EE">
        <w:rPr>
          <w:rFonts w:ascii="Verdana" w:hAnsi="Verdana"/>
          <w:sz w:val="22"/>
        </w:rPr>
        <w:t xml:space="preserve">Laboratorio </w:t>
      </w:r>
      <w:r w:rsidR="004B18E7" w:rsidRPr="00F165EE">
        <w:rPr>
          <w:rFonts w:ascii="Verdana" w:hAnsi="Verdana"/>
          <w:b/>
          <w:sz w:val="22"/>
        </w:rPr>
        <w:t xml:space="preserve">METODI E TECNICHE DI INTERVENTO PER LA PROMOZIONE DEL BENESSERE </w:t>
      </w:r>
      <w:r w:rsidRPr="00F165EE">
        <w:rPr>
          <w:rFonts w:ascii="Verdana" w:hAnsi="Verdana"/>
          <w:b/>
          <w:sz w:val="22"/>
        </w:rPr>
        <w:t>(mutuato da PPSDCE)</w:t>
      </w:r>
      <w:r w:rsidRPr="00F165EE">
        <w:rPr>
          <w:rFonts w:ascii="Verdana" w:hAnsi="Verdana"/>
          <w:sz w:val="22"/>
        </w:rPr>
        <w:t xml:space="preserve">: </w:t>
      </w:r>
      <w:proofErr w:type="gramStart"/>
      <w:r w:rsidRPr="00F165EE">
        <w:rPr>
          <w:rFonts w:ascii="Verdana" w:hAnsi="Verdana"/>
          <w:sz w:val="22"/>
        </w:rPr>
        <w:t>contattare</w:t>
      </w:r>
      <w:proofErr w:type="gramEnd"/>
      <w:r w:rsidRPr="00F165EE">
        <w:rPr>
          <w:rFonts w:ascii="Verdana" w:hAnsi="Verdana"/>
          <w:sz w:val="22"/>
        </w:rPr>
        <w:t xml:space="preserve"> il prima possibile il prof. Luca Vecchio </w:t>
      </w:r>
      <w:hyperlink r:id="rId8" w:history="1">
        <w:r w:rsidR="0096208E" w:rsidRPr="00F165EE">
          <w:rPr>
            <w:rStyle w:val="Collegamentoipertestuale"/>
            <w:rFonts w:ascii="Verdana" w:hAnsi="Verdana"/>
            <w:sz w:val="22"/>
          </w:rPr>
          <w:t>luca.vecchio@unimib.it</w:t>
        </w:r>
      </w:hyperlink>
      <w:r w:rsidR="0096208E" w:rsidRPr="00F165EE">
        <w:rPr>
          <w:rFonts w:ascii="Verdana" w:hAnsi="Verdana"/>
          <w:sz w:val="22"/>
        </w:rPr>
        <w:t xml:space="preserve"> </w:t>
      </w:r>
      <w:r w:rsidRPr="00F165EE">
        <w:rPr>
          <w:rFonts w:ascii="Verdana" w:hAnsi="Verdana"/>
          <w:sz w:val="22"/>
        </w:rPr>
        <w:t>per iscriversi e frequentare il lab</w:t>
      </w:r>
    </w:p>
    <w:p w14:paraId="32DAB1C3" w14:textId="21594C5B" w:rsidR="003269DC" w:rsidRPr="003269DC" w:rsidRDefault="003269DC" w:rsidP="003269DC">
      <w:pPr>
        <w:spacing w:before="240" w:line="276" w:lineRule="auto"/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Tutti gli altri laboratori sono attivi, si prega di consultare le liste </w:t>
      </w:r>
      <w:proofErr w:type="gramStart"/>
      <w:r>
        <w:rPr>
          <w:rFonts w:ascii="Verdana" w:hAnsi="Verdana"/>
          <w:sz w:val="22"/>
        </w:rPr>
        <w:t xml:space="preserve">di </w:t>
      </w:r>
      <w:proofErr w:type="gramEnd"/>
      <w:r>
        <w:rPr>
          <w:rFonts w:ascii="Verdana" w:hAnsi="Verdana"/>
          <w:sz w:val="22"/>
        </w:rPr>
        <w:t xml:space="preserve">iscrizione di PCN, gli orari del primo semestre. Si rammenta che non sono consentiti cambi di laboratorio (ad eccezione dei lab disattivati); si </w:t>
      </w:r>
      <w:proofErr w:type="gramStart"/>
      <w:r>
        <w:rPr>
          <w:rFonts w:ascii="Verdana" w:hAnsi="Verdana"/>
          <w:sz w:val="22"/>
        </w:rPr>
        <w:t>allega</w:t>
      </w:r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regolamente</w:t>
      </w:r>
      <w:proofErr w:type="spellEnd"/>
      <w:r>
        <w:rPr>
          <w:rFonts w:ascii="Verdana" w:hAnsi="Verdana"/>
          <w:sz w:val="22"/>
        </w:rPr>
        <w:t xml:space="preserve"> cambi per il corrente anno accademico</w:t>
      </w:r>
    </w:p>
    <w:p w14:paraId="2DF4E0BB" w14:textId="0BFAFC89" w:rsidR="00C12849" w:rsidRDefault="003269DC" w:rsidP="003269DC">
      <w:pPr>
        <w:spacing w:before="24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</w:t>
      </w:r>
      <w:r w:rsidR="00B2176C">
        <w:rPr>
          <w:rFonts w:ascii="Verdana" w:hAnsi="Verdana"/>
          <w:sz w:val="22"/>
        </w:rPr>
        <w:t>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3"/>
        <w:gridCol w:w="621"/>
        <w:gridCol w:w="1534"/>
      </w:tblGrid>
      <w:tr w:rsidR="00C12849" w:rsidRPr="001A410D" w14:paraId="4451ECA4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E66BA" w14:textId="01C7422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b/>
                <w:bCs/>
                <w:color w:val="000000"/>
                <w:sz w:val="22"/>
                <w:szCs w:val="22"/>
              </w:rPr>
              <w:t>LAB di PCN attivi nell’</w:t>
            </w:r>
            <w:proofErr w:type="spellStart"/>
            <w:proofErr w:type="gramStart"/>
            <w:r w:rsidRPr="001A410D">
              <w:rPr>
                <w:rFonts w:ascii="Verdana" w:eastAsia="Times New Roman" w:hAnsi="Verdana" w:cs="Tahoma"/>
                <w:b/>
                <w:bCs/>
                <w:color w:val="000000"/>
                <w:sz w:val="22"/>
                <w:szCs w:val="22"/>
              </w:rPr>
              <w:t>a.a</w:t>
            </w:r>
            <w:proofErr w:type="spellEnd"/>
            <w:r w:rsidRPr="001A410D">
              <w:rPr>
                <w:rFonts w:ascii="Verdana" w:eastAsia="Times New Roman" w:hAnsi="Verdana" w:cs="Tahoma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1A410D">
              <w:rPr>
                <w:rFonts w:ascii="Verdana" w:eastAsia="Times New Roman" w:hAnsi="Verdana" w:cs="Tahoma"/>
                <w:b/>
                <w:bCs/>
                <w:color w:val="000000"/>
                <w:sz w:val="22"/>
                <w:szCs w:val="22"/>
              </w:rPr>
              <w:t xml:space="preserve"> 2017/2018</w:t>
            </w:r>
          </w:p>
        </w:tc>
        <w:tc>
          <w:tcPr>
            <w:tcW w:w="0" w:type="auto"/>
            <w:vAlign w:val="center"/>
          </w:tcPr>
          <w:p w14:paraId="4047C264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b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b/>
                <w:color w:val="000000"/>
                <w:sz w:val="22"/>
                <w:szCs w:val="22"/>
              </w:rPr>
              <w:t>CFU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9417C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b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b/>
                <w:color w:val="000000"/>
                <w:sz w:val="22"/>
                <w:szCs w:val="22"/>
              </w:rPr>
              <w:t>SEMESTRE</w:t>
            </w:r>
          </w:p>
        </w:tc>
      </w:tr>
      <w:tr w:rsidR="00C12849" w:rsidRPr="001A410D" w14:paraId="26C2AE2C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0FCB3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La valutazione del funzionamento relazionale</w:t>
            </w:r>
          </w:p>
        </w:tc>
        <w:tc>
          <w:tcPr>
            <w:tcW w:w="0" w:type="auto"/>
            <w:vAlign w:val="center"/>
          </w:tcPr>
          <w:p w14:paraId="55DB2A7B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98726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</w:t>
            </w:r>
          </w:p>
        </w:tc>
      </w:tr>
      <w:tr w:rsidR="00C12849" w:rsidRPr="001A410D" w14:paraId="3CB6A862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D8718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Interventi residenziali in comunità terapeutiche per adulti e minori</w:t>
            </w:r>
          </w:p>
        </w:tc>
        <w:tc>
          <w:tcPr>
            <w:tcW w:w="0" w:type="auto"/>
            <w:vAlign w:val="center"/>
          </w:tcPr>
          <w:p w14:paraId="0F44747F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5D845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</w:t>
            </w:r>
          </w:p>
        </w:tc>
      </w:tr>
      <w:tr w:rsidR="00C12849" w:rsidRPr="001A410D" w14:paraId="7164DF70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D8DCB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Stesura della relazione clinico</w:t>
            </w:r>
            <w:r w:rsidRPr="001A410D">
              <w:rPr>
                <w:rFonts w:ascii="Noteworthy Light" w:eastAsia="Times New Roman" w:hAnsi="Noteworthy Light" w:cs="Noteworthy Light"/>
                <w:color w:val="000000"/>
                <w:sz w:val="22"/>
                <w:szCs w:val="22"/>
              </w:rPr>
              <w:t>‐</w:t>
            </w: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diagnostica</w:t>
            </w:r>
          </w:p>
        </w:tc>
        <w:tc>
          <w:tcPr>
            <w:tcW w:w="0" w:type="auto"/>
            <w:vAlign w:val="center"/>
          </w:tcPr>
          <w:p w14:paraId="39D596B6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3A885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</w:t>
            </w:r>
          </w:p>
        </w:tc>
      </w:tr>
      <w:tr w:rsidR="00C12849" w:rsidRPr="001A410D" w14:paraId="3BD3FB5B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DE620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La valutazione psicodiagnostica in età evolutiva</w:t>
            </w:r>
          </w:p>
        </w:tc>
        <w:tc>
          <w:tcPr>
            <w:tcW w:w="0" w:type="auto"/>
            <w:vAlign w:val="center"/>
          </w:tcPr>
          <w:p w14:paraId="6192357C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ACA69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2</w:t>
            </w:r>
          </w:p>
        </w:tc>
      </w:tr>
      <w:tr w:rsidR="00C12849" w:rsidRPr="001A410D" w14:paraId="2DF75C18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BEAD1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Interviste cliniche per la diagnosi di personalità patologica</w:t>
            </w:r>
          </w:p>
        </w:tc>
        <w:tc>
          <w:tcPr>
            <w:tcW w:w="0" w:type="auto"/>
            <w:vAlign w:val="center"/>
          </w:tcPr>
          <w:p w14:paraId="642C0CA5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E030A" w14:textId="46F11C7F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1-2 (2 turni)</w:t>
            </w:r>
          </w:p>
        </w:tc>
      </w:tr>
      <w:tr w:rsidR="00C12849" w:rsidRPr="001A410D" w14:paraId="609EDA78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BAE9E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Mediazione Familiare</w:t>
            </w:r>
          </w:p>
        </w:tc>
        <w:tc>
          <w:tcPr>
            <w:tcW w:w="0" w:type="auto"/>
            <w:vAlign w:val="center"/>
          </w:tcPr>
          <w:p w14:paraId="6A86BECF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2FC1E" w14:textId="48AF726F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1-2 (2 turni)</w:t>
            </w:r>
          </w:p>
        </w:tc>
      </w:tr>
      <w:tr w:rsidR="00C12849" w:rsidRPr="001A410D" w14:paraId="372CB5F2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A033F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Metodi strumentali nelle neuroscienze cognitive</w:t>
            </w:r>
          </w:p>
        </w:tc>
        <w:tc>
          <w:tcPr>
            <w:tcW w:w="0" w:type="auto"/>
            <w:vAlign w:val="center"/>
          </w:tcPr>
          <w:p w14:paraId="7BEB6F82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1D673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</w:t>
            </w:r>
          </w:p>
        </w:tc>
      </w:tr>
      <w:tr w:rsidR="00C12849" w:rsidRPr="001A410D" w14:paraId="52786754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88D3A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L’esame neuropsicologico dell’adulto</w:t>
            </w:r>
          </w:p>
        </w:tc>
        <w:tc>
          <w:tcPr>
            <w:tcW w:w="0" w:type="auto"/>
            <w:vAlign w:val="center"/>
          </w:tcPr>
          <w:p w14:paraId="288EBD64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47E92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</w:t>
            </w:r>
          </w:p>
        </w:tc>
      </w:tr>
      <w:tr w:rsidR="00C12849" w:rsidRPr="001A410D" w14:paraId="7F47625B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BCDD2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La valutazione delle competenze cognitive nello sviluppo</w:t>
            </w:r>
          </w:p>
        </w:tc>
        <w:tc>
          <w:tcPr>
            <w:tcW w:w="0" w:type="auto"/>
            <w:vAlign w:val="center"/>
          </w:tcPr>
          <w:p w14:paraId="7803B2D9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12C90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</w:t>
            </w:r>
          </w:p>
        </w:tc>
      </w:tr>
      <w:tr w:rsidR="00C12849" w:rsidRPr="001A410D" w14:paraId="3D43BB23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3AC05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Neuroscienze cognitive applicate</w:t>
            </w:r>
          </w:p>
        </w:tc>
        <w:tc>
          <w:tcPr>
            <w:tcW w:w="0" w:type="auto"/>
            <w:vAlign w:val="center"/>
          </w:tcPr>
          <w:p w14:paraId="18AAF118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FDED0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2</w:t>
            </w:r>
          </w:p>
        </w:tc>
      </w:tr>
      <w:tr w:rsidR="00C12849" w:rsidRPr="001A410D" w14:paraId="58670115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FE8A8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Teorie e Tecniche d’intervento nell’invecchiamento normale e patologico</w:t>
            </w:r>
          </w:p>
        </w:tc>
        <w:tc>
          <w:tcPr>
            <w:tcW w:w="0" w:type="auto"/>
            <w:vAlign w:val="center"/>
          </w:tcPr>
          <w:p w14:paraId="232D4116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6AA7B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2</w:t>
            </w:r>
          </w:p>
        </w:tc>
      </w:tr>
      <w:tr w:rsidR="00C12849" w:rsidRPr="001A410D" w14:paraId="6EAC7723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29FDE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Potenziamento delle competenze in età evolutiva</w:t>
            </w:r>
          </w:p>
        </w:tc>
        <w:tc>
          <w:tcPr>
            <w:tcW w:w="0" w:type="auto"/>
            <w:vAlign w:val="center"/>
          </w:tcPr>
          <w:p w14:paraId="654BA6AB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5E69A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2</w:t>
            </w:r>
          </w:p>
        </w:tc>
      </w:tr>
      <w:tr w:rsidR="00C12849" w:rsidRPr="001A410D" w14:paraId="20CBF5E4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E7D79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Comunicazione e relazione in ambito sanitario</w:t>
            </w:r>
          </w:p>
        </w:tc>
        <w:tc>
          <w:tcPr>
            <w:tcW w:w="0" w:type="auto"/>
            <w:vAlign w:val="center"/>
          </w:tcPr>
          <w:p w14:paraId="667041F4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F13EA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2</w:t>
            </w:r>
          </w:p>
        </w:tc>
      </w:tr>
      <w:tr w:rsidR="00C12849" w:rsidRPr="001A410D" w14:paraId="2ACA4CE6" w14:textId="77777777" w:rsidTr="00C12849">
        <w:trPr>
          <w:trHeight w:val="28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D7AAA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Deontologia e responsabilità dello psicologo in ambito sanitario</w:t>
            </w:r>
          </w:p>
        </w:tc>
        <w:tc>
          <w:tcPr>
            <w:tcW w:w="0" w:type="auto"/>
            <w:vAlign w:val="center"/>
          </w:tcPr>
          <w:p w14:paraId="0A578E5F" w14:textId="77777777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D9858" w14:textId="27001876" w:rsidR="00C12849" w:rsidRPr="001A410D" w:rsidRDefault="00C12849" w:rsidP="00C12849">
            <w:pPr>
              <w:jc w:val="center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1A410D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1-2 (2 turni)</w:t>
            </w:r>
          </w:p>
        </w:tc>
      </w:tr>
    </w:tbl>
    <w:p w14:paraId="3805ECEC" w14:textId="77777777" w:rsidR="004E1446" w:rsidRPr="0096208E" w:rsidRDefault="004E1446" w:rsidP="00C12849">
      <w:pPr>
        <w:spacing w:before="240"/>
        <w:rPr>
          <w:rFonts w:ascii="Verdana" w:hAnsi="Verdana"/>
          <w:sz w:val="22"/>
        </w:rPr>
      </w:pPr>
    </w:p>
    <w:p w14:paraId="515C52C3" w14:textId="77777777" w:rsidR="00297BA6" w:rsidRPr="0096208E" w:rsidRDefault="00297BA6" w:rsidP="00C12849">
      <w:pPr>
        <w:rPr>
          <w:rFonts w:ascii="Verdana" w:hAnsi="Verdana"/>
          <w:sz w:val="22"/>
        </w:rPr>
      </w:pPr>
    </w:p>
    <w:sectPr w:rsidR="00297BA6" w:rsidRPr="0096208E" w:rsidSect="00C12849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8AC"/>
    <w:multiLevelType w:val="hybridMultilevel"/>
    <w:tmpl w:val="EC982578"/>
    <w:lvl w:ilvl="0" w:tplc="0F56D16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3C18"/>
    <w:multiLevelType w:val="hybridMultilevel"/>
    <w:tmpl w:val="4B74E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62CE6"/>
    <w:multiLevelType w:val="hybridMultilevel"/>
    <w:tmpl w:val="7B3C2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82FC5"/>
    <w:multiLevelType w:val="hybridMultilevel"/>
    <w:tmpl w:val="8724EBA6"/>
    <w:lvl w:ilvl="0" w:tplc="FA1C9DE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D755F"/>
    <w:multiLevelType w:val="hybridMultilevel"/>
    <w:tmpl w:val="363E6556"/>
    <w:lvl w:ilvl="0" w:tplc="F09088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D3CDB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10"/>
    <w:rsid w:val="000A34E0"/>
    <w:rsid w:val="00136BBF"/>
    <w:rsid w:val="001A410D"/>
    <w:rsid w:val="001F6053"/>
    <w:rsid w:val="00297BA6"/>
    <w:rsid w:val="002A22BF"/>
    <w:rsid w:val="003269DC"/>
    <w:rsid w:val="003E7CB6"/>
    <w:rsid w:val="004B18E7"/>
    <w:rsid w:val="004E1446"/>
    <w:rsid w:val="005B58FD"/>
    <w:rsid w:val="005F1910"/>
    <w:rsid w:val="00761FFF"/>
    <w:rsid w:val="0096208E"/>
    <w:rsid w:val="00972180"/>
    <w:rsid w:val="00AA7C33"/>
    <w:rsid w:val="00B2176C"/>
    <w:rsid w:val="00B218E1"/>
    <w:rsid w:val="00B35591"/>
    <w:rsid w:val="00C03E69"/>
    <w:rsid w:val="00C12849"/>
    <w:rsid w:val="00CA7599"/>
    <w:rsid w:val="00CE5F15"/>
    <w:rsid w:val="00E321AE"/>
    <w:rsid w:val="00E45451"/>
    <w:rsid w:val="00F165EE"/>
    <w:rsid w:val="00F3026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49A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A22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1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A22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dia.bolognini@unimib.it" TargetMode="External"/><Relationship Id="rId7" Type="http://schemas.openxmlformats.org/officeDocument/2006/relationships/hyperlink" Target="mailto:laura.zampini1@unimib.it" TargetMode="External"/><Relationship Id="rId8" Type="http://schemas.openxmlformats.org/officeDocument/2006/relationships/hyperlink" Target="mailto:luca.vecchio@unimib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440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Bolognini</dc:creator>
  <cp:keywords/>
  <dc:description/>
  <cp:lastModifiedBy>Nadia Bolognini</cp:lastModifiedBy>
  <cp:revision>14</cp:revision>
  <dcterms:created xsi:type="dcterms:W3CDTF">2017-09-18T07:27:00Z</dcterms:created>
  <dcterms:modified xsi:type="dcterms:W3CDTF">2017-09-19T14:57:00Z</dcterms:modified>
</cp:coreProperties>
</file>