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seguenti tabelle illustrano i corsi e le attività formative attivate nell’anno accademico 2023/2024:</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Primo anno di corso – comune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(per gli studenti che si immatricolano nell’AA 2023/2024 - </w:t>
      </w:r>
      <w:r w:rsidDel="00000000" w:rsidR="00000000" w:rsidRPr="00000000">
        <w:rPr>
          <w:rFonts w:ascii="Comic Sans MS" w:cs="Comic Sans MS" w:eastAsia="Comic Sans MS" w:hAnsi="Comic Sans MS"/>
          <w:b w:val="1"/>
          <w:sz w:val="18"/>
          <w:szCs w:val="18"/>
          <w:rtl w:val="0"/>
        </w:rPr>
        <w:t xml:space="preserve">Regolamento didattico AA 2023/2024</w:t>
      </w:r>
      <w:r w:rsidDel="00000000" w:rsidR="00000000" w:rsidRPr="00000000">
        <w:rPr>
          <w:rFonts w:ascii="Comic Sans MS" w:cs="Comic Sans MS" w:eastAsia="Comic Sans MS" w:hAnsi="Comic Sans MS"/>
          <w:b w:val="1"/>
          <w:color w:val="000000"/>
          <w:sz w:val="18"/>
          <w:szCs w:val="18"/>
          <w:rtl w:val="0"/>
        </w:rPr>
        <w:t xml:space="preserve">) </w:t>
      </w:r>
      <w:hyperlink r:id="rId7">
        <w:r w:rsidDel="00000000" w:rsidR="00000000" w:rsidRPr="00000000">
          <w:rPr>
            <w:rFonts w:ascii="Comic Sans MS" w:cs="Comic Sans MS" w:eastAsia="Comic Sans MS" w:hAnsi="Comic Sans MS"/>
            <w:b w:val="1"/>
            <w:color w:val="0000ff"/>
            <w:sz w:val="18"/>
            <w:szCs w:val="18"/>
            <w:u w:val="single"/>
            <w:vertAlign w:val="baseline"/>
            <w:rtl w:val="0"/>
          </w:rPr>
          <w:t xml:space="preserve">https://elearning.unimib.it/mod/page/view.php?id=225475</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tbl>
      <w:tblPr>
        <w:tblStyle w:val="Table1"/>
        <w:tblW w:w="76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935"/>
        <w:gridCol w:w="2406"/>
        <w:gridCol w:w="1164"/>
        <w:tblGridChange w:id="0">
          <w:tblGrid>
            <w:gridCol w:w="2175"/>
            <w:gridCol w:w="1935"/>
            <w:gridCol w:w="2406"/>
            <w:gridCol w:w="1164"/>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 CFU</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SEMESTRE</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CHIMICA GENERALE ED INORGANICA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CHIMICA ORGANICA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FISICA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FIS/07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FONDAMENTI DI BIOINFORMATICA E BIOSTATISTICA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INF/01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ISTITUZIONI DI BIOLOGIA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ind w:left="0" w:hanging="2"/>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7">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LABORATORIO DI CHIMICA</w:t>
            </w:r>
          </w:p>
          <w:p w:rsidR="00000000" w:rsidDel="00000000" w:rsidP="00000000" w:rsidRDefault="00000000" w:rsidRPr="00000000" w14:paraId="00000028">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E0201Q048</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left="0" w:hanging="2"/>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A">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DI CHIMICA GENERALE E INORGANICA E0201Q058M</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CHIM/03</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 CFU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w:t>
            </w:r>
          </w:p>
          <w:p w:rsidR="00000000" w:rsidDel="00000000" w:rsidP="00000000" w:rsidRDefault="00000000" w:rsidRPr="00000000" w14:paraId="00000032">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LABORATORIO DI CHIMICA ORGANICA</w:t>
            </w:r>
          </w:p>
          <w:p w:rsidR="00000000" w:rsidDel="00000000" w:rsidP="00000000" w:rsidRDefault="00000000" w:rsidRPr="00000000" w14:paraId="00000033">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E0201Q059M</w:t>
            </w:r>
          </w:p>
          <w:p w:rsidR="00000000" w:rsidDel="00000000" w:rsidP="00000000" w:rsidRDefault="00000000" w:rsidRPr="00000000" w14:paraId="00000034">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CHIM/06</w:t>
            </w:r>
          </w:p>
          <w:p w:rsidR="00000000" w:rsidDel="00000000" w:rsidP="00000000" w:rsidRDefault="00000000" w:rsidRPr="00000000" w14:paraId="00000035">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 CFU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LINGUA STRANIERA:</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1 lingua a scelta tra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LINGUA FRANCESE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LINGUA INGLESE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LINGUA SPAGNOLA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LINGUA TEDESCA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ANNUALE</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MATEMATICA</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MAT/05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Lo studente potrà sostenere gli esami del secondo anno di corso solo previo superamento degli esami di Istituzioni di Biologia, Chimica generale ed inorganica, Matematica, Lingua straniera (si veda punto dedicato)</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Lo studente potrà sostenere gli esami del terzo anno di corso solo previo superamento di tutti gli esami del primo anno di corso.</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SECONDO ANNO DI CORSO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(per gli studenti immatricolati nell’AA 2022/2023 - </w:t>
      </w:r>
      <w:r w:rsidDel="00000000" w:rsidR="00000000" w:rsidRPr="00000000">
        <w:rPr>
          <w:rFonts w:ascii="Comic Sans MS" w:cs="Comic Sans MS" w:eastAsia="Comic Sans MS" w:hAnsi="Comic Sans MS"/>
          <w:b w:val="1"/>
          <w:sz w:val="18"/>
          <w:szCs w:val="18"/>
          <w:rtl w:val="0"/>
        </w:rPr>
        <w:t xml:space="preserve">Regolamento didattico AA 2022/2023</w:t>
      </w:r>
      <w:r w:rsidDel="00000000" w:rsidR="00000000" w:rsidRPr="00000000">
        <w:rPr>
          <w:rFonts w:ascii="Comic Sans MS" w:cs="Comic Sans MS" w:eastAsia="Comic Sans MS" w:hAnsi="Comic Sans MS"/>
          <w:b w:val="1"/>
          <w:color w:val="000000"/>
          <w:sz w:val="18"/>
          <w:szCs w:val="18"/>
          <w:rtl w:val="0"/>
        </w:rPr>
        <w:t xml:space="preserve">) </w:t>
      </w:r>
      <w:hyperlink r:id="rId8">
        <w:r w:rsidDel="00000000" w:rsidR="00000000" w:rsidRPr="00000000">
          <w:rPr>
            <w:rFonts w:ascii="Comic Sans MS" w:cs="Comic Sans MS" w:eastAsia="Comic Sans MS" w:hAnsi="Comic Sans MS"/>
            <w:b w:val="1"/>
            <w:color w:val="0000ff"/>
            <w:sz w:val="18"/>
            <w:szCs w:val="18"/>
            <w:u w:val="single"/>
            <w:vertAlign w:val="baseline"/>
            <w:rtl w:val="0"/>
          </w:rPr>
          <w:t xml:space="preserve">https://elearning.unimib.it/mod/page/view.php?id=225475</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tbl>
      <w:tblPr>
        <w:tblStyle w:val="Table2"/>
        <w:tblW w:w="78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3"/>
        <w:gridCol w:w="1712"/>
        <w:gridCol w:w="1843"/>
        <w:gridCol w:w="1151"/>
        <w:tblGridChange w:id="0">
          <w:tblGrid>
            <w:gridCol w:w="3103"/>
            <w:gridCol w:w="1712"/>
            <w:gridCol w:w="1843"/>
            <w:gridCol w:w="1151"/>
          </w:tblGrid>
        </w:tblGridChange>
      </w:tblGrid>
      <w:tr>
        <w:trPr>
          <w:cantSplit w:val="0"/>
          <w:trHeight w:val="888" w:hRule="atLeast"/>
          <w:tblHeader w:val="0"/>
        </w:trPr>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w:t>
            </w:r>
            <w:r w:rsidDel="00000000" w:rsidR="00000000" w:rsidRPr="00000000">
              <w:rPr>
                <w:rtl w:val="0"/>
              </w:rPr>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 CFU</w:t>
            </w:r>
            <w:r w:rsidDel="00000000" w:rsidR="00000000" w:rsidRPr="00000000">
              <w:rPr>
                <w:rtl w:val="0"/>
              </w:rPr>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SSD</w:t>
            </w:r>
            <w:r w:rsidDel="00000000" w:rsidR="00000000" w:rsidRPr="00000000">
              <w:rPr>
                <w:rtl w:val="0"/>
              </w:rPr>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SEMESTRE</w:t>
            </w:r>
            <w:r w:rsidDel="00000000" w:rsidR="00000000" w:rsidRPr="00000000">
              <w:rPr>
                <w:rtl w:val="0"/>
              </w:rPr>
            </w:r>
          </w:p>
        </w:tc>
      </w:tr>
      <w:tr>
        <w:trPr>
          <w:cantSplit w:val="0"/>
          <w:trHeight w:val="1405" w:hRule="atLeast"/>
          <w:tblHeader w:val="0"/>
        </w:trPr>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E0201Q049</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tc>
      </w:tr>
      <w:tr>
        <w:trPr>
          <w:cantSplit w:val="0"/>
          <w:trHeight w:val="516" w:hRule="atLeast"/>
          <w:tblHeader w:val="0"/>
        </w:trPr>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BIOLOGIA MOLECOLARE I</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E0201Q008</w:t>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720" w:hRule="atLeast"/>
          <w:tblHeader w:val="0"/>
        </w:trPr>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ECONOMIA DELLE AZIENDE BIOTECNOLOGICHE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E0201Q076</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4</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SECS-P/07</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397" w:hRule="atLeast"/>
          <w:tblHeader w:val="0"/>
        </w:trPr>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GENETICA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E0201Q068</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BIO/18</w:t>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97" w:hRule="atLeast"/>
          <w:tblHeader w:val="0"/>
        </w:trPr>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IMMUNOLOGIA</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E0201Q051</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MED/04</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690" w:hRule="atLeast"/>
          <w:tblHeader w:val="0"/>
        </w:trPr>
        <w:tc>
          <w:tcPr>
            <w:vMerge w:val="restart"/>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LABORATORI DI TECNOLOGIE ABILITANTI</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E0201Q052</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tc>
        <w:tc>
          <w:tcPr>
            <w:vMerge w:val="restart"/>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15</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TECNOLOGIE ABILITANTI BIOCHIMICHE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E0201Q063M </w:t>
            </w:r>
            <w:r w:rsidDel="00000000" w:rsidR="00000000" w:rsidRPr="00000000">
              <w:rPr>
                <w:rFonts w:ascii="Comic Sans MS" w:cs="Comic Sans MS" w:eastAsia="Comic Sans MS" w:hAnsi="Comic Sans MS"/>
                <w:color w:val="000000"/>
                <w:sz w:val="18"/>
                <w:szCs w:val="18"/>
                <w:rtl w:val="0"/>
              </w:rPr>
              <w:t xml:space="preserve">BIO/10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 CFU</w:t>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255" w:hRule="atLeast"/>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87">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TECNOLOGIE ABILITANTI BIOMOLECOLARI</w:t>
            </w:r>
          </w:p>
          <w:p w:rsidR="00000000" w:rsidDel="00000000" w:rsidP="00000000" w:rsidRDefault="00000000" w:rsidRPr="00000000" w14:paraId="00000088">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E0201Q064M BIO/11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3 CFU</w:t>
            </w:r>
            <w:r w:rsidDel="00000000" w:rsidR="00000000" w:rsidRPr="00000000">
              <w:rPr>
                <w:rtl w:val="0"/>
              </w:rPr>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926" w:hRule="atLeast"/>
          <w:tblHeader w:val="0"/>
        </w:trPr>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8D">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TECNOLOGIE ABILITANTI GENETICHE</w:t>
            </w:r>
          </w:p>
          <w:p w:rsidR="00000000" w:rsidDel="00000000" w:rsidP="00000000" w:rsidRDefault="00000000" w:rsidRPr="00000000" w14:paraId="0000008E">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E0201Q065M BIO/18 </w:t>
            </w:r>
          </w:p>
          <w:p w:rsidR="00000000" w:rsidDel="00000000" w:rsidP="00000000" w:rsidRDefault="00000000" w:rsidRPr="00000000" w14:paraId="0000008F">
            <w:pPr>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3 CFU</w:t>
            </w:r>
            <w:r w:rsidDel="00000000" w:rsidR="00000000" w:rsidRPr="00000000">
              <w:rPr>
                <w:rtl w:val="0"/>
              </w:rPr>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525" w:hRule="atLeast"/>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93">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TECNOLOGIE ABILITANTI MICROBIOLOGIA INDUSTRIALE</w:t>
            </w:r>
          </w:p>
          <w:p w:rsidR="00000000" w:rsidDel="00000000" w:rsidP="00000000" w:rsidRDefault="00000000" w:rsidRPr="00000000" w14:paraId="00000094">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E0201Q066M CHIM/11</w:t>
            </w:r>
          </w:p>
          <w:p w:rsidR="00000000" w:rsidDel="00000000" w:rsidP="00000000" w:rsidRDefault="00000000" w:rsidRPr="00000000" w14:paraId="00000095">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 CFU</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255" w:hRule="atLeast"/>
          <w:tblHeader w:val="0"/>
        </w:trPr>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99">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MODULO LABORATORIO TECNOLOGIE ABILITANTI IMMUNOLOGICHE </w:t>
            </w:r>
          </w:p>
          <w:p w:rsidR="00000000" w:rsidDel="00000000" w:rsidP="00000000" w:rsidRDefault="00000000" w:rsidRPr="00000000" w14:paraId="0000009A">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E0201Q067M</w:t>
            </w:r>
          </w:p>
          <w:p w:rsidR="00000000" w:rsidDel="00000000" w:rsidP="00000000" w:rsidRDefault="00000000" w:rsidRPr="00000000" w14:paraId="0000009B">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MED/04</w:t>
            </w:r>
          </w:p>
          <w:p w:rsidR="00000000" w:rsidDel="00000000" w:rsidP="00000000" w:rsidRDefault="00000000" w:rsidRPr="00000000" w14:paraId="0000009C">
            <w:pPr>
              <w:ind w:left="0" w:hanging="2"/>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3 CFU</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255" w:hRule="atLeast"/>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METODOLOGIE BIOCHIMICHE E TECNOLOGIE BIOMOLECOLARI</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E0201Q050</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255" w:hRule="atLeast"/>
          <w:tblHeader w:val="0"/>
        </w:trPr>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MICROBIOLOGIA INDUSTRIALE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E0201Q069</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TERZO ANNO DI CORSO </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color w:val="000000"/>
          <w:sz w:val="18"/>
          <w:szCs w:val="18"/>
          <w:rtl w:val="0"/>
        </w:rPr>
        <w:t xml:space="preserve">(per gli studenti immatricolati nell’ AA 2021/2022- </w:t>
      </w:r>
      <w:r w:rsidDel="00000000" w:rsidR="00000000" w:rsidRPr="00000000">
        <w:rPr>
          <w:rFonts w:ascii="Comic Sans MS" w:cs="Comic Sans MS" w:eastAsia="Comic Sans MS" w:hAnsi="Comic Sans MS"/>
          <w:b w:val="1"/>
          <w:sz w:val="18"/>
          <w:szCs w:val="18"/>
          <w:rtl w:val="0"/>
        </w:rPr>
        <w:t xml:space="preserve">Regolamento didattico AA 2021/2022) </w:t>
      </w:r>
      <w:hyperlink r:id="rId9">
        <w:r w:rsidDel="00000000" w:rsidR="00000000" w:rsidRPr="00000000">
          <w:rPr>
            <w:rFonts w:ascii="Comic Sans MS" w:cs="Comic Sans MS" w:eastAsia="Comic Sans MS" w:hAnsi="Comic Sans MS"/>
            <w:b w:val="1"/>
            <w:color w:val="1155cc"/>
            <w:sz w:val="18"/>
            <w:szCs w:val="18"/>
            <w:u w:val="single"/>
            <w:rtl w:val="0"/>
          </w:rPr>
          <w:t xml:space="preserve">https://elearning.unimib.it/mod/page/view.php?id=225475</w:t>
        </w:r>
      </w:hyperlink>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Insegnamenti obbligatori per tutti:</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tbl>
      <w:tblPr>
        <w:tblStyle w:val="Table3"/>
        <w:tblW w:w="78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3"/>
        <w:gridCol w:w="1712"/>
        <w:gridCol w:w="1843"/>
        <w:gridCol w:w="1151"/>
        <w:tblGridChange w:id="0">
          <w:tblGrid>
            <w:gridCol w:w="3103"/>
            <w:gridCol w:w="1712"/>
            <w:gridCol w:w="1843"/>
            <w:gridCol w:w="1151"/>
          </w:tblGrid>
        </w:tblGridChange>
      </w:tblGrid>
      <w:tr>
        <w:trPr>
          <w:cantSplit w:val="0"/>
          <w:trHeight w:val="888" w:hRule="atLeast"/>
          <w:tblHeader w:val="0"/>
        </w:trPr>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w:t>
            </w:r>
            <w:r w:rsidDel="00000000" w:rsidR="00000000" w:rsidRPr="00000000">
              <w:rPr>
                <w:rtl w:val="0"/>
              </w:rPr>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 CFU</w:t>
            </w:r>
            <w:r w:rsidDel="00000000" w:rsidR="00000000" w:rsidRPr="00000000">
              <w:rPr>
                <w:rtl w:val="0"/>
              </w:rPr>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SSD</w:t>
            </w:r>
            <w:r w:rsidDel="00000000" w:rsidR="00000000" w:rsidRPr="00000000">
              <w:rPr>
                <w:rtl w:val="0"/>
              </w:rPr>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SEMESTRE</w:t>
            </w:r>
            <w:r w:rsidDel="00000000" w:rsidR="00000000" w:rsidRPr="00000000">
              <w:rPr>
                <w:rtl w:val="0"/>
              </w:rPr>
            </w:r>
          </w:p>
        </w:tc>
      </w:tr>
      <w:tr>
        <w:trPr>
          <w:cantSplit w:val="0"/>
          <w:trHeight w:val="888" w:hRule="atLeast"/>
          <w:tblHeader w:val="0"/>
        </w:trPr>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 PER LE BIOTECNOLOGIE</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E0201Q059</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FERMENTAZIONI E BIOPROCESSI MICROBICI</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E0201Q060</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ORGANI E FUNZIONI</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E0201Q053</w:t>
            </w:r>
          </w:p>
        </w:tc>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BIO/09</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Gli studenti, nell’ambito delle attività formative affini e integrative dovranno selezionare un insegnamento tra i seguenti proposti:</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highlight w:val="cyan"/>
        </w:rPr>
      </w:pPr>
      <w:r w:rsidDel="00000000" w:rsidR="00000000" w:rsidRPr="00000000">
        <w:rPr>
          <w:rtl w:val="0"/>
        </w:rPr>
      </w:r>
    </w:p>
    <w:tbl>
      <w:tblPr>
        <w:tblStyle w:val="Table4"/>
        <w:tblW w:w="78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3"/>
        <w:gridCol w:w="1557"/>
        <w:gridCol w:w="1584"/>
        <w:gridCol w:w="1565"/>
        <w:tblGridChange w:id="0">
          <w:tblGrid>
            <w:gridCol w:w="3103"/>
            <w:gridCol w:w="1557"/>
            <w:gridCol w:w="1584"/>
            <w:gridCol w:w="1565"/>
          </w:tblGrid>
        </w:tblGridChange>
      </w:tblGrid>
      <w:tr>
        <w:trPr>
          <w:cantSplit w:val="0"/>
          <w:trHeight w:val="888" w:hRule="atLeast"/>
          <w:tblHeader w:val="0"/>
        </w:trPr>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w:t>
            </w: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INSEGNAMENTO CFU</w:t>
            </w:r>
            <w:r w:rsidDel="00000000" w:rsidR="00000000" w:rsidRPr="00000000">
              <w:rPr>
                <w:rtl w:val="0"/>
              </w:rPr>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SSD</w:t>
            </w:r>
            <w:r w:rsidDel="00000000" w:rsidR="00000000" w:rsidRPr="00000000">
              <w:rPr>
                <w:rtl w:val="0"/>
              </w:rPr>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SEMESTRE</w:t>
            </w:r>
            <w:r w:rsidDel="00000000" w:rsidR="00000000" w:rsidRPr="00000000">
              <w:rPr>
                <w:rtl w:val="0"/>
              </w:rPr>
            </w:r>
          </w:p>
        </w:tc>
      </w:tr>
      <w:tr>
        <w:trPr>
          <w:cantSplit w:val="0"/>
          <w:trHeight w:val="888" w:hRule="atLeast"/>
          <w:tblHeader w:val="0"/>
        </w:trPr>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ANALISI DI FUNZIONI GENICHE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E0201Q057</w:t>
            </w:r>
          </w:p>
        </w:tc>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BIO/18</w:t>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 CELLULARE</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E0201Q063</w:t>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 SISTEMATICA UMANA</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E0201Q065</w:t>
            </w:r>
          </w:p>
        </w:tc>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BIOLOGIA MOLECOLARE II</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E0201Q062</w:t>
            </w:r>
          </w:p>
        </w:tc>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BIOTECNOLOGIE CELLULARI</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E0201Q075</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CHIMICA FISICA DEI SISTEMI BIOLOGICI</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E0201Q078</w:t>
            </w:r>
          </w:p>
        </w:tc>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CHIM/02</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COMPOSTI ORGANICI DI INTERESSE MERCEOLOGICO</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E0201Q055</w:t>
            </w:r>
          </w:p>
        </w:tc>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FARMACOLOGIA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E0201Q054</w:t>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BIO/14</w:t>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GENETICA MOLECOLARE UMANA</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E0201Q073</w:t>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BIO/13</w:t>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IMMUNOLOGIA MOLECOLARE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E0201Q056</w:t>
            </w:r>
          </w:p>
        </w:tc>
        <w:tc>
          <w:tcP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MED/04</w:t>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PATOLOGIA GENERALE</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E0201Q067</w:t>
            </w:r>
          </w:p>
        </w:tc>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MED/04</w:t>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r>
      <w:tr>
        <w:trPr>
          <w:cantSplit w:val="0"/>
          <w:trHeight w:val="888" w:hRule="atLeast"/>
          <w:tblHeader w:val="0"/>
        </w:trPr>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PROCESSI BIOTECNOLOGICI E BIORAFFINERIE</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E0201Q079</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r>
      <w:tr>
        <w:trPr>
          <w:cantSplit w:val="0"/>
          <w:trHeight w:val="888" w:hRule="atLeast"/>
          <w:tblHeader w:val="0"/>
        </w:trPr>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SPETTROSCOPIA PER LE BIOTECNOLOGIE</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E0201Q077</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FIS/07</w:t>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Completano il percorso formativo le seguenti attività previste al III anno:</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Attività a libera scelta: 12 CFU</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Prova finale (E0201Q071): 5 CFU</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Stage (E0201Q080): 10 CFU</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Altre conoscenze utili per l'inserimento nel mondo del lavoro (E0201Q070): 1 CFU</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Immatricolazione al corso di studio</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Possono essere ammessi al Corso di Laurea triennale in Biotecnologie i candidati in possesso del diploma di scuola media superiore o di titolo estero equipollente ai sensi del D.M. 22 ottobre 2004 n.270. Per l'accesso al Corso di Laurea è previsto un test di ammissione, la selezione è basata sull'esito del test stesso.</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l'anno accademico 2023/2024, il Corso di Studi in Biotecnologie è ad accesso programmato al fine di garantire la qualità dell'offerta didattica in relazione alle risorse disponibili. Per l'iscrizione al primo anno sono disponibili 205 posti di cui 3 riservati a studenti extra UE e 2 riservati ai cittadini della Repubblica Popolare Cinese aderenti al "Progetto Marco Polo". </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 graduatoria per l’ammissione viene formulata in base all'esito del Test On Line CISIA, tipologia B (TOLC-B), che consiste in 50 quesiti suddivisi in 4 sezioni, Matematica di base, Biologia, Fisica e Chimica. Al termine del TOLC-B è presente una sezione di 30 quesiti per la Prova della Conoscenza della Lingua Inglese. La sezione di inglese non è obbligatoria, non contribuisce alla formazione del punteggio finale né sarà ritenuta valida ai fini dell’acquisizione dei CFU di lingua previsti dal Corso di Studi. </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Il test TOLC-B potrà essere sostenuto secondo le modalità (TOLC@CASA o TOLC all'università) e il calendario consultabili nelle pagine web di riferimento del portale CISIA </w:t>
      </w:r>
      <w:hyperlink r:id="rId10">
        <w:r w:rsidDel="00000000" w:rsidR="00000000" w:rsidRPr="00000000">
          <w:rPr>
            <w:rFonts w:ascii="Comic Sans MS" w:cs="Comic Sans MS" w:eastAsia="Comic Sans MS" w:hAnsi="Comic Sans MS"/>
            <w:color w:val="0000ff"/>
            <w:sz w:val="18"/>
            <w:szCs w:val="18"/>
            <w:u w:val="single"/>
            <w:vertAlign w:val="baseline"/>
            <w:rtl w:val="0"/>
          </w:rPr>
          <w:t xml:space="preserve">www.cisiaonline.it</w:t>
        </w:r>
      </w:hyperlink>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l’anno accademico 2023/2024 sono previste due sessioni di selezione per l’iscrizione al Corso di Studi in Biotecnologie presso l’Università degli Studi di Milano - Bicocca:</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sessione di maggio (80 posti) riservata agli studenti iscritti all’ultimo anno di una Scuola secondaria di secondo grado.</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sessione di settembre (125 posti + i posti eventualmente non coperti nella sessione precedente).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Lo scorrimento delle graduatorie sarà previsto per tutte le sessioni.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tutte le selezioni non è previsto il raggiungimento di una soglia minima di punteggio ai fini dell’immatricolazione al corso nell’ambito della disponibilità dei posti.</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 graduatoria di merito per l’iscrizione al Corso di Studi in Biotecnologie sarà redatta sulla base del punteggio totale ottenuto nel TOLC-B, escluso il punteggio ottenuto nella sezione di lingua inglese. </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Non verrà considerato il voto di maturità.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Le modalità di ammissione, l’apertura delle iscrizioni alla selezione, il periodo di immatricolazione e le graduatorie saranno pubblicati all'Albo ufficiale dell'Ateneo e saranno consultabili sul sito internet di Ateneo</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hyperlink r:id="rId11">
        <w:r w:rsidDel="00000000" w:rsidR="00000000" w:rsidRPr="00000000">
          <w:rPr>
            <w:rFonts w:ascii="Comic Sans MS" w:cs="Comic Sans MS" w:eastAsia="Comic Sans MS" w:hAnsi="Comic Sans MS"/>
            <w:color w:val="0000ff"/>
            <w:sz w:val="18"/>
            <w:szCs w:val="18"/>
            <w:u w:val="single"/>
            <w:vertAlign w:val="baseline"/>
            <w:rtl w:val="0"/>
          </w:rPr>
          <w:t xml:space="preserve">https://www.unimib.it/triennale/biotecnologie</w:t>
        </w:r>
      </w:hyperlink>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Tutte le informazioni sono contenute nel bando che disciplina l'accesso. Per gli studenti che, pur rientrando nella graduatoria degli ammessi, mostrassero carenze di conoscenze matematiche, saranno organizzate attività di supporto alla didattica specificatamente dedicate alla matematica di base per guidare gli studenti verso una preparazione in matematica adeguata al corso di studio. Le modalità e i calendari delle attività vengono pubblicati al link:</w:t>
      </w:r>
      <w:r w:rsidDel="00000000" w:rsidR="00000000" w:rsidRPr="00000000">
        <w:rPr>
          <w:rtl w:val="0"/>
        </w:rPr>
        <w:t xml:space="preserve"> </w:t>
      </w:r>
      <w:hyperlink r:id="rId12">
        <w:r w:rsidDel="00000000" w:rsidR="00000000" w:rsidRPr="00000000">
          <w:rPr>
            <w:rFonts w:ascii="Comic Sans MS" w:cs="Comic Sans MS" w:eastAsia="Comic Sans MS" w:hAnsi="Comic Sans MS"/>
            <w:color w:val="0000ff"/>
            <w:sz w:val="18"/>
            <w:szCs w:val="18"/>
            <w:u w:val="single"/>
            <w:vertAlign w:val="baseline"/>
            <w:rtl w:val="0"/>
          </w:rPr>
          <w:t xml:space="preserve">https://www.scienze.unimib.it/it/pre-corsi</w:t>
        </w:r>
      </w:hyperlink>
      <w:r w:rsidDel="00000000" w:rsidR="00000000" w:rsidRPr="00000000">
        <w:rPr>
          <w:rFonts w:ascii="Comic Sans MS" w:cs="Comic Sans MS" w:eastAsia="Comic Sans MS" w:hAnsi="Comic Sans MS"/>
          <w:sz w:val="18"/>
          <w:szCs w:val="18"/>
          <w:rtl w:val="0"/>
        </w:rPr>
        <w:t xml:space="preserve">, in genere tra fine agosto e inizio settembre.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ffffff" w:val="clear"/>
        <w:spacing w:line="240" w:lineRule="auto"/>
        <w:ind w:left="0" w:hanging="2"/>
        <w:rPr>
          <w:rFonts w:ascii="Comic Sans MS" w:cs="Comic Sans MS" w:eastAsia="Comic Sans MS" w:hAnsi="Comic Sans MS"/>
          <w:color w:val="222222"/>
          <w:sz w:val="18"/>
          <w:szCs w:val="18"/>
        </w:rPr>
      </w:pPr>
      <w:r w:rsidDel="00000000" w:rsidR="00000000" w:rsidRPr="00000000">
        <w:rPr>
          <w:rFonts w:ascii="Comic Sans MS" w:cs="Comic Sans MS" w:eastAsia="Comic Sans MS" w:hAnsi="Comic Sans MS"/>
          <w:b w:val="1"/>
          <w:color w:val="000000"/>
          <w:sz w:val="18"/>
          <w:szCs w:val="18"/>
          <w:rtl w:val="0"/>
        </w:rPr>
        <w:t xml:space="preserve">Pre-corsi e altre attività di supporto alla didattica</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ffffff" w:val="clear"/>
        <w:spacing w:line="240" w:lineRule="auto"/>
        <w:ind w:left="0" w:hanging="2"/>
        <w:jc w:val="both"/>
        <w:rPr>
          <w:rFonts w:ascii="Comic Sans MS" w:cs="Comic Sans MS" w:eastAsia="Comic Sans MS" w:hAnsi="Comic Sans MS"/>
          <w:color w:val="222222"/>
          <w:sz w:val="18"/>
          <w:szCs w:val="18"/>
        </w:rPr>
      </w:pPr>
      <w:r w:rsidDel="00000000" w:rsidR="00000000" w:rsidRPr="00000000">
        <w:rPr>
          <w:rFonts w:ascii="Comic Sans MS" w:cs="Comic Sans MS" w:eastAsia="Comic Sans MS" w:hAnsi="Comic Sans MS"/>
          <w:color w:val="222222"/>
          <w:sz w:val="18"/>
          <w:szCs w:val="18"/>
          <w:rtl w:val="0"/>
        </w:rPr>
        <w:t xml:space="preserve">La Scuola di Scienze organizza ogni anno numerose attività di supporto alla didattica specificatamente dedicate alla matematica di base, rivolte agli studenti in ingresso ai Corsi di Laurea di area scientifica.</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ffffff" w:val="clear"/>
        <w:spacing w:line="240" w:lineRule="auto"/>
        <w:ind w:left="0" w:hanging="2"/>
        <w:jc w:val="both"/>
        <w:rPr>
          <w:rFonts w:ascii="Comic Sans MS" w:cs="Comic Sans MS" w:eastAsia="Comic Sans MS" w:hAnsi="Comic Sans MS"/>
          <w:color w:val="222222"/>
          <w:sz w:val="18"/>
          <w:szCs w:val="18"/>
        </w:rPr>
      </w:pPr>
      <w:r w:rsidDel="00000000" w:rsidR="00000000" w:rsidRPr="00000000">
        <w:rPr>
          <w:rFonts w:ascii="Comic Sans MS" w:cs="Comic Sans MS" w:eastAsia="Comic Sans MS" w:hAnsi="Comic Sans MS"/>
          <w:color w:val="222222"/>
          <w:sz w:val="18"/>
          <w:szCs w:val="18"/>
          <w:rtl w:val="0"/>
        </w:rPr>
        <w:t xml:space="preserve"> </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ffffff" w:val="clear"/>
        <w:spacing w:line="240" w:lineRule="auto"/>
        <w:ind w:left="0" w:hanging="2"/>
        <w:jc w:val="both"/>
        <w:rPr>
          <w:rFonts w:ascii="Comic Sans MS" w:cs="Comic Sans MS" w:eastAsia="Comic Sans MS" w:hAnsi="Comic Sans MS"/>
          <w:color w:val="222222"/>
          <w:sz w:val="18"/>
          <w:szCs w:val="18"/>
        </w:rPr>
      </w:pPr>
      <w:bookmarkStart w:colFirst="0" w:colLast="0" w:name="_heading=h.1fob9te" w:id="0"/>
      <w:bookmarkEnd w:id="0"/>
      <w:r w:rsidDel="00000000" w:rsidR="00000000" w:rsidRPr="00000000">
        <w:rPr>
          <w:rFonts w:ascii="Comic Sans MS" w:cs="Comic Sans MS" w:eastAsia="Comic Sans MS" w:hAnsi="Comic Sans MS"/>
          <w:color w:val="222222"/>
          <w:sz w:val="18"/>
          <w:szCs w:val="18"/>
          <w:rtl w:val="0"/>
        </w:rPr>
        <w:t xml:space="preserve">Tutte le informazioni utili (calendari, materiale didattico ed iscrizione ai corsi, se prevista) sono disponibili sul sito della </w:t>
      </w:r>
      <w:hyperlink r:id="rId13">
        <w:r w:rsidDel="00000000" w:rsidR="00000000" w:rsidRPr="00000000">
          <w:rPr>
            <w:rFonts w:ascii="Comic Sans MS" w:cs="Comic Sans MS" w:eastAsia="Comic Sans MS" w:hAnsi="Comic Sans MS"/>
            <w:color w:val="0000ff"/>
            <w:sz w:val="18"/>
            <w:szCs w:val="18"/>
            <w:u w:val="single"/>
            <w:rtl w:val="0"/>
          </w:rPr>
          <w:t xml:space="preserve">Scuola di scienze</w:t>
        </w:r>
      </w:hyperlink>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ffffff" w:val="clear"/>
        <w:spacing w:line="240" w:lineRule="auto"/>
        <w:ind w:left="0" w:hanging="2"/>
        <w:jc w:val="both"/>
        <w:rPr>
          <w:rFonts w:ascii="Comic Sans MS" w:cs="Comic Sans MS" w:eastAsia="Comic Sans MS" w:hAnsi="Comic Sans MS"/>
          <w:color w:val="222222"/>
          <w:sz w:val="18"/>
          <w:szCs w:val="18"/>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Riconoscimento CFU e modalità di trasferimento</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u w:val="single"/>
          <w:rtl w:val="0"/>
        </w:rPr>
        <w:t xml:space="preserve">Trasferimenti al I anno di corso</w:t>
      </w:r>
      <w:r w:rsidDel="00000000" w:rsidR="00000000" w:rsidRPr="00000000">
        <w:rPr>
          <w:rFonts w:ascii="Comic Sans MS" w:cs="Comic Sans MS" w:eastAsia="Comic Sans MS" w:hAnsi="Comic Sans MS"/>
          <w:sz w:val="18"/>
          <w:szCs w:val="18"/>
          <w:rtl w:val="0"/>
        </w:rPr>
        <w:t xml:space="preserve">: gli studenti regolarmente iscritti in altre Università e gli studenti iscritti presso l'Università degli Studi di Milano-Bicocca possono trasferirsi al primo anno di corso a condizione che abbiano sostenuto la prova di ammissione e che si siano collocati in una posizione utile in graduatoria. </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u w:val="single"/>
          <w:rtl w:val="0"/>
        </w:rPr>
        <w:t xml:space="preserve">Trasferimenti al II e al III anno di corso</w:t>
      </w:r>
      <w:r w:rsidDel="00000000" w:rsidR="00000000" w:rsidRPr="00000000">
        <w:rPr>
          <w:rFonts w:ascii="Comic Sans MS" w:cs="Comic Sans MS" w:eastAsia="Comic Sans MS" w:hAnsi="Comic Sans MS"/>
          <w:sz w:val="18"/>
          <w:szCs w:val="18"/>
          <w:rtl w:val="0"/>
        </w:rPr>
        <w:t xml:space="preserve">: gli studenti regolarmente iscritti in questa o in altre Università ad altri corsi di laurea possono trasferirsi al II anno ed al III anno di corso, senza sostenimento della prova, a condizione di aver sostenuto, per l'accesso al corso da cui intendono trasferirsi, una prova di ammissione, ed avere acquisito, nella loro carriera universitaria, esami riconoscibili dal corso di laurea per almeno 30 CFU per l'iscrizione al II anno e per almeno 60 CFU per l'iscrizione al III anno.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L'ammissione al II o al III anno è comunque subordinata ad un parere vincolante del Consiglio di Coordinamento Didattico sulla base del tipo di attività didattica pregressa riconosciuta. In base al D.M. 270/2004 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12 CFU, complessivamente tra corsi di laurea e laurea magistrale. Tale riconoscimento è soggetto all’approvazione del CCD di Biotecnologie su proposta della Commissione Piani di Studio da esso nominata.</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maggiori informazioni si rimanda al bando di ammissione </w:t>
      </w:r>
      <w:hyperlink r:id="rId14">
        <w:r w:rsidDel="00000000" w:rsidR="00000000" w:rsidRPr="00000000">
          <w:rPr>
            <w:rFonts w:ascii="Comic Sans MS" w:cs="Comic Sans MS" w:eastAsia="Comic Sans MS" w:hAnsi="Comic Sans MS"/>
            <w:color w:val="0000ff"/>
            <w:sz w:val="18"/>
            <w:szCs w:val="18"/>
            <w:u w:val="single"/>
            <w:vertAlign w:val="baseline"/>
            <w:rtl w:val="0"/>
          </w:rPr>
          <w:t xml:space="preserve">https://www.unimib.it/triennale/biotecnologie</w:t>
        </w:r>
      </w:hyperlink>
      <w:r w:rsidDel="00000000" w:rsidR="00000000" w:rsidRPr="00000000">
        <w:rPr>
          <w:rFonts w:ascii="Comic Sans MS" w:cs="Comic Sans MS" w:eastAsia="Comic Sans MS" w:hAnsi="Comic Sans MS"/>
          <w:sz w:val="18"/>
          <w:szCs w:val="18"/>
          <w:rtl w:val="0"/>
        </w:rPr>
        <w:t xml:space="preserve">) ed alla pagina di Ateneo: </w:t>
      </w:r>
      <w:hyperlink r:id="rId15">
        <w:r w:rsidDel="00000000" w:rsidR="00000000" w:rsidRPr="00000000">
          <w:rPr>
            <w:rFonts w:ascii="Comic Sans MS" w:cs="Comic Sans MS" w:eastAsia="Comic Sans MS" w:hAnsi="Comic Sans MS"/>
            <w:color w:val="0000ff"/>
            <w:sz w:val="18"/>
            <w:szCs w:val="18"/>
            <w:u w:val="single"/>
            <w:vertAlign w:val="baseline"/>
            <w:rtl w:val="0"/>
          </w:rPr>
          <w:t xml:space="preserve">https://www.unimib.it/servizi/studenti-e-laureati/segreterie-studenti/passaggi-trasferimenti-e-rinunce</w:t>
        </w:r>
      </w:hyperlink>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Lingua Straniera</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3znysh7" w:id="1"/>
      <w:bookmarkEnd w:id="1"/>
      <w:r w:rsidDel="00000000" w:rsidR="00000000" w:rsidRPr="00000000">
        <w:rPr>
          <w:rFonts w:ascii="Comic Sans MS" w:cs="Comic Sans MS" w:eastAsia="Comic Sans MS" w:hAnsi="Comic Sans MS"/>
          <w:color w:val="000000"/>
          <w:sz w:val="18"/>
          <w:szCs w:val="18"/>
          <w:rtl w:val="0"/>
        </w:rPr>
        <w:t xml:space="preserve">Il Corso di Laurea richiede preferenzialmente la conoscenza della Lingua inglese ad un livello B1. In alternativa è richiesta la conoscenza di una Lingua straniera della Comunità europea quale francese, tedesco, spagnolo sempre a livello B1. La conoscenza della lingua straniera viene verificata mediante una prova, che lo studente deve superare entro il I anno di corso. In conformità con la delibera del Senato Accademico del 3 luglio 2006, i crediti previsti per la lingua straniera devono essere acquisiti prima di sostenere gli esami del secondo e del terzo anno di corso. La presentazione di un certificato di conoscenza della lingua di livello uguale o superiore a B1, rilasciato da enti esterni riconosciuti dall’Ateneo, esonera lo studente dalla prova. Sito web di riferimento: </w:t>
      </w:r>
      <w:hyperlink r:id="rId16">
        <w:r w:rsidDel="00000000" w:rsidR="00000000" w:rsidRPr="00000000">
          <w:rPr>
            <w:rFonts w:ascii="Comic Sans MS" w:cs="Comic Sans MS" w:eastAsia="Comic Sans MS" w:hAnsi="Comic Sans MS"/>
            <w:color w:val="0000ff"/>
            <w:sz w:val="18"/>
            <w:szCs w:val="18"/>
            <w:u w:val="single"/>
            <w:rtl w:val="0"/>
          </w:rPr>
          <w:t xml:space="preserve">https://www.unimib.it/didattica/lingue-unimib</w:t>
        </w:r>
      </w:hyperlink>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Iscrizione ad anni successivi al primo</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1155cc"/>
          <w:sz w:val="18"/>
          <w:szCs w:val="18"/>
          <w:u w:val="single"/>
        </w:rPr>
      </w:pPr>
      <w:r w:rsidDel="00000000" w:rsidR="00000000" w:rsidRPr="00000000">
        <w:rPr>
          <w:rFonts w:ascii="Comic Sans MS" w:cs="Comic Sans MS" w:eastAsia="Comic Sans MS" w:hAnsi="Comic Sans MS"/>
          <w:sz w:val="18"/>
          <w:szCs w:val="18"/>
          <w:rtl w:val="0"/>
        </w:rPr>
        <w:t xml:space="preserve">Per quanto riguarda le iscrizioni ad anni successivi al primo si rimanda alla pagina web: </w:t>
      </w:r>
      <w:hyperlink r:id="rId17">
        <w:r w:rsidDel="00000000" w:rsidR="00000000" w:rsidRPr="00000000">
          <w:rPr>
            <w:rFonts w:ascii="Comic Sans MS" w:cs="Comic Sans MS" w:eastAsia="Comic Sans MS" w:hAnsi="Comic Sans MS"/>
            <w:color w:val="1155cc"/>
            <w:sz w:val="18"/>
            <w:szCs w:val="18"/>
            <w:u w:val="single"/>
            <w:rtl w:val="0"/>
          </w:rPr>
          <w:t xml:space="preserve">https://www.unimib.it/servizi/segreterie-studenti/rinnova-liscrizione</w:t>
        </w:r>
      </w:hyperlink>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0" w:hanging="2"/>
        <w:rPr>
          <w:sz w:val="18"/>
          <w:szCs w:val="18"/>
        </w:rPr>
      </w:pPr>
      <w:bookmarkStart w:colFirst="0" w:colLast="0" w:name="_heading=h.rh0ujtrkst9" w:id="2"/>
      <w:bookmarkEnd w:id="2"/>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Orari delle lezioni e orari di ricevimento</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lezioni del primo semestre si svolgeranno nel periodo </w:t>
      </w:r>
      <w:r w:rsidDel="00000000" w:rsidR="00000000" w:rsidRPr="00000000">
        <w:rPr>
          <w:rFonts w:ascii="Comic Sans MS" w:cs="Comic Sans MS" w:eastAsia="Comic Sans MS" w:hAnsi="Comic Sans MS"/>
          <w:sz w:val="18"/>
          <w:szCs w:val="18"/>
          <w:rtl w:val="0"/>
        </w:rPr>
        <w:t xml:space="preserve">2 ottobre 2023 – 31 gennaio 2024</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lezioni del secondo semestre si svolgeranno nel periodo 4 marzo 2024 – 28 giugno 2024</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Gli orari delle lezioni verranno pubblicati su:</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hyperlink r:id="rId18">
        <w:r w:rsidDel="00000000" w:rsidR="00000000" w:rsidRPr="00000000">
          <w:rPr>
            <w:rFonts w:ascii="Comic Sans MS" w:cs="Comic Sans MS" w:eastAsia="Comic Sans MS" w:hAnsi="Comic Sans MS"/>
            <w:color w:val="0000ff"/>
            <w:sz w:val="18"/>
            <w:szCs w:val="18"/>
            <w:u w:val="single"/>
            <w:rtl w:val="0"/>
          </w:rPr>
          <w:t xml:space="preserve">http://gestioneorari.didattica.unimib.it/PortaleStudentiUnimib/</w:t>
        </w:r>
      </w:hyperlink>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3dy6vkm" w:id="3"/>
      <w:bookmarkEnd w:id="3"/>
      <w:r w:rsidDel="00000000" w:rsidR="00000000" w:rsidRPr="00000000">
        <w:rPr>
          <w:rFonts w:ascii="Comic Sans MS" w:cs="Comic Sans MS" w:eastAsia="Comic Sans MS" w:hAnsi="Comic Sans MS"/>
          <w:color w:val="000000"/>
          <w:sz w:val="18"/>
          <w:szCs w:val="18"/>
          <w:rtl w:val="0"/>
        </w:rPr>
        <w:t xml:space="preserve">I nominativi dei docenti, i loro recapiti e gli orari di ricevimento sono pubblicati all’interno del Syllabus di ciascun insegnamento consultabile sul sito </w:t>
      </w:r>
      <w:hyperlink r:id="rId19">
        <w:r w:rsidDel="00000000" w:rsidR="00000000" w:rsidRPr="00000000">
          <w:rPr>
            <w:rFonts w:ascii="Comic Sans MS" w:cs="Comic Sans MS" w:eastAsia="Comic Sans MS" w:hAnsi="Comic Sans MS"/>
            <w:color w:val="0000ff"/>
            <w:sz w:val="18"/>
            <w:szCs w:val="18"/>
            <w:u w:val="single"/>
            <w:vertAlign w:val="baseline"/>
            <w:rtl w:val="0"/>
          </w:rPr>
          <w:t xml:space="preserve">https://elearning.unimib.it/course/index.php?categoryid=3568</w:t>
        </w:r>
      </w:hyperlink>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Presentazione piano degli studi</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Il piano di studio è l’insieme delle attività formative obbligatorie, delle attività previste come opzionali e delle attività formative scelte autonomamente dallo studente in coerenza con il Regolamento Didattico del Corso di Studi. Allo studente viene automaticamente attribuito un piano di studio all’atto dell’iscrizione al primo anno, che costituisce il piano di studio statutario.</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Lo studente nel secondo semestre del secondo anno deve presentare un piano di studio personale con l’indicazione delle attività opzionali e di quelle a scelta. Il piano di studio è approvato dal Consiglio di Coordinamento Didattico. Le modalità e le scadenze di presentazione del piano sono definite dall’Ateneo. (</w:t>
      </w:r>
      <w:hyperlink r:id="rId20">
        <w:r w:rsidDel="00000000" w:rsidR="00000000" w:rsidRPr="00000000">
          <w:rPr>
            <w:rFonts w:ascii="Comic Sans MS" w:cs="Comic Sans MS" w:eastAsia="Comic Sans MS" w:hAnsi="Comic Sans MS"/>
            <w:color w:val="1155cc"/>
            <w:sz w:val="18"/>
            <w:szCs w:val="18"/>
            <w:u w:val="single"/>
            <w:rtl w:val="0"/>
          </w:rPr>
          <w:t xml:space="preserve">https://www.unimib.it/servizi/segreterie-studenti/piani-degli-studi</w:t>
        </w:r>
      </w:hyperlink>
      <w:r w:rsidDel="00000000" w:rsidR="00000000" w:rsidRPr="00000000">
        <w:rPr>
          <w:rFonts w:ascii="Comic Sans MS" w:cs="Comic Sans MS" w:eastAsia="Comic Sans MS" w:hAnsi="Comic Sans MS"/>
          <w:color w:val="1155cc"/>
          <w:sz w:val="18"/>
          <w:szCs w:val="18"/>
          <w:u w:val="single"/>
          <w:rtl w:val="0"/>
        </w:rPr>
        <w:t xml:space="preserve">)</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Il diritto dello studente di sostenere prove di verifica relative a un’attività formativa è subordinato alla presenza dell’attività stessa nell’ultimo piano di studio approvato. Per quanto non previsto si rinvia al Regolamento d’Ateneo per gli studenti.</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CFU Sovrannumerari </w:t>
      </w:r>
      <w:r w:rsidDel="00000000" w:rsidR="00000000" w:rsidRPr="00000000">
        <w:rPr>
          <w:rFonts w:ascii="Comic Sans MS" w:cs="Comic Sans MS" w:eastAsia="Comic Sans MS" w:hAnsi="Comic Sans MS"/>
          <w:color w:val="000000"/>
          <w:sz w:val="18"/>
          <w:szCs w:val="18"/>
          <w:rtl w:val="0"/>
        </w:rPr>
        <w:t xml:space="preserve">(delibera del Senato Accademico 11 maggio 2020)</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Gli studenti iscritti a un corso di laurea, anche al fine di perseguire l’adeguatezza della propria preparazione personale in vista dell’iscrizione a corsi di laurea magistrale, possono includere nel proprio piano di studio insegnamenti aggiuntivi rispetto a quelli richiesti per il conseguimento del titolo.</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 deroga a quanto previsto all’art. 22 comma 3) del Regolamento Didattico d’Ateneo in vigore, il Senato Accademico, con delibera del 11 maggio 2020, ha aumentato </w:t>
      </w:r>
      <w:r w:rsidDel="00000000" w:rsidR="00000000" w:rsidRPr="00000000">
        <w:rPr>
          <w:rFonts w:ascii="Comic Sans MS" w:cs="Comic Sans MS" w:eastAsia="Comic Sans MS" w:hAnsi="Comic Sans MS"/>
          <w:b w:val="1"/>
          <w:color w:val="000000"/>
          <w:sz w:val="18"/>
          <w:szCs w:val="18"/>
          <w:u w:val="single"/>
          <w:rtl w:val="0"/>
        </w:rPr>
        <w:t xml:space="preserve">da 12 a 16</w:t>
      </w:r>
      <w:r w:rsidDel="00000000" w:rsidR="00000000" w:rsidRPr="00000000">
        <w:rPr>
          <w:rFonts w:ascii="Comic Sans MS" w:cs="Comic Sans MS" w:eastAsia="Comic Sans MS" w:hAnsi="Comic Sans MS"/>
          <w:color w:val="000000"/>
          <w:sz w:val="18"/>
          <w:szCs w:val="18"/>
          <w:rtl w:val="0"/>
        </w:rPr>
        <w:t xml:space="preserve"> i CFU sovrannumerari per i Corsi di laurea.</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 CFU e le votazioni ottenute per gli insegnamenti aggiuntivi non rientrano nel computo per la media dei voti degli esami di profitto, ma sono registrati nella carriera e saranno riportati nel Supplemento al Diploma.</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Programmi degli insegnamenti</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 programmi degli insegnamenti sono disponibili sul </w:t>
      </w:r>
      <w:hyperlink r:id="rId21">
        <w:r w:rsidDel="00000000" w:rsidR="00000000" w:rsidRPr="00000000">
          <w:rPr>
            <w:rFonts w:ascii="Comic Sans MS" w:cs="Comic Sans MS" w:eastAsia="Comic Sans MS" w:hAnsi="Comic Sans MS"/>
            <w:color w:val="0000ff"/>
            <w:sz w:val="18"/>
            <w:szCs w:val="18"/>
            <w:u w:val="single"/>
            <w:rtl w:val="0"/>
          </w:rPr>
          <w:t xml:space="preserve">sito del corso di laurea</w:t>
        </w:r>
      </w:hyperlink>
      <w:r w:rsidDel="00000000" w:rsidR="00000000" w:rsidRPr="00000000">
        <w:rPr>
          <w:rFonts w:ascii="Comic Sans MS" w:cs="Comic Sans MS" w:eastAsia="Comic Sans MS" w:hAnsi="Comic Sans MS"/>
          <w:color w:val="000000"/>
          <w:sz w:val="18"/>
          <w:szCs w:val="18"/>
          <w:rtl w:val="0"/>
        </w:rPr>
        <w:t xml:space="preserve">, Sezione Insegnamenti &gt; A.A. 2</w:t>
      </w:r>
      <w:r w:rsidDel="00000000" w:rsidR="00000000" w:rsidRPr="00000000">
        <w:rPr>
          <w:rFonts w:ascii="Comic Sans MS" w:cs="Comic Sans MS" w:eastAsia="Comic Sans MS" w:hAnsi="Comic Sans MS"/>
          <w:sz w:val="18"/>
          <w:szCs w:val="18"/>
          <w:rtl w:val="0"/>
        </w:rPr>
        <w:t xml:space="preserve">3</w:t>
      </w:r>
      <w:r w:rsidDel="00000000" w:rsidR="00000000" w:rsidRPr="00000000">
        <w:rPr>
          <w:rFonts w:ascii="Comic Sans MS" w:cs="Comic Sans MS" w:eastAsia="Comic Sans MS" w:hAnsi="Comic Sans MS"/>
          <w:color w:val="000000"/>
          <w:sz w:val="18"/>
          <w:szCs w:val="18"/>
          <w:rtl w:val="0"/>
        </w:rPr>
        <w:t xml:space="preserve">/24 &gt; anno di corso di interesse,  nel “Syllabus” di ogni insegnamento.</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1155cc"/>
          <w:sz w:val="18"/>
          <w:szCs w:val="18"/>
          <w:u w:val="single"/>
        </w:rPr>
      </w:pPr>
      <w:r w:rsidDel="00000000" w:rsidR="00000000" w:rsidRPr="00000000">
        <w:rPr>
          <w:rFonts w:ascii="Comic Sans MS" w:cs="Comic Sans MS" w:eastAsia="Comic Sans MS" w:hAnsi="Comic Sans MS"/>
          <w:color w:val="000000"/>
          <w:sz w:val="18"/>
          <w:szCs w:val="18"/>
          <w:rtl w:val="0"/>
        </w:rPr>
        <w:t xml:space="preserve">Altre informazioni utili sono reperibili nella guida dello studente che verrà pubblicata entro la fine del mese di luglio sul sito del corso di laurea: </w:t>
      </w:r>
      <w:hyperlink r:id="rId22">
        <w:r w:rsidDel="00000000" w:rsidR="00000000" w:rsidRPr="00000000">
          <w:rPr>
            <w:rFonts w:ascii="Comic Sans MS" w:cs="Comic Sans MS" w:eastAsia="Comic Sans MS" w:hAnsi="Comic Sans MS"/>
            <w:color w:val="1155cc"/>
            <w:sz w:val="18"/>
            <w:szCs w:val="18"/>
            <w:u w:val="single"/>
            <w:rtl w:val="0"/>
          </w:rPr>
          <w:t xml:space="preserve">https://elearning.unimib.it/mod/page/view.php?id=227245</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Esami</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 i corsi di lezioni frontali e di laboratorio il profitto viene valutato mediante esami con punteggio in trentesimi. Gli esami di profitto possono essere orali e/o scritti, in conformità con quanto previsto dal regolamento didattico di Ateneo. Per il numero minimo di appelli si fa riferimento al Regolamento Didattico di Ateneo.  Per le attività di stage è prevista la presentazione di una relazione tecnica sull’attività svolta.</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2s8eyo1" w:id="4"/>
      <w:bookmarkEnd w:id="4"/>
      <w:r w:rsidDel="00000000" w:rsidR="00000000" w:rsidRPr="00000000">
        <w:rPr>
          <w:rFonts w:ascii="Comic Sans MS" w:cs="Comic Sans MS" w:eastAsia="Comic Sans MS" w:hAnsi="Comic Sans MS"/>
          <w:color w:val="000000"/>
          <w:sz w:val="18"/>
          <w:szCs w:val="18"/>
          <w:rtl w:val="0"/>
        </w:rPr>
        <w:t xml:space="preserve">Gli appelli di esame sono consultabili su: </w:t>
      </w:r>
      <w:hyperlink r:id="rId23">
        <w:r w:rsidDel="00000000" w:rsidR="00000000" w:rsidRPr="00000000">
          <w:rPr>
            <w:rFonts w:ascii="Comic Sans MS" w:cs="Comic Sans MS" w:eastAsia="Comic Sans MS" w:hAnsi="Comic Sans MS"/>
            <w:color w:val="0000ff"/>
            <w:sz w:val="18"/>
            <w:szCs w:val="18"/>
            <w:u w:val="single"/>
            <w:rtl w:val="0"/>
          </w:rPr>
          <w:t xml:space="preserve">http://gestioneorari.didattica.unimib.it/PortaleStudentiUnimib/</w:t>
        </w:r>
      </w:hyperlink>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17dp8vu" w:id="5"/>
      <w:bookmarkEnd w:id="5"/>
      <w:r w:rsidDel="00000000" w:rsidR="00000000" w:rsidRPr="00000000">
        <w:rPr>
          <w:rFonts w:ascii="Comic Sans MS" w:cs="Comic Sans MS" w:eastAsia="Comic Sans MS" w:hAnsi="Comic Sans MS"/>
          <w:color w:val="000000"/>
          <w:sz w:val="18"/>
          <w:szCs w:val="18"/>
          <w:rtl w:val="0"/>
        </w:rPr>
        <w:t xml:space="preserve">Le iscrizioni avvengono tramite Segreterie on line : </w:t>
      </w:r>
      <w:hyperlink r:id="rId24">
        <w:r w:rsidDel="00000000" w:rsidR="00000000" w:rsidRPr="00000000">
          <w:rPr>
            <w:rFonts w:ascii="Comic Sans MS" w:cs="Comic Sans MS" w:eastAsia="Comic Sans MS" w:hAnsi="Comic Sans MS"/>
            <w:color w:val="0000ff"/>
            <w:sz w:val="18"/>
            <w:szCs w:val="18"/>
            <w:u w:val="single"/>
            <w:rtl w:val="0"/>
          </w:rPr>
          <w:t xml:space="preserve">https://s3w.si.unimib.it/Home.do</w:t>
        </w:r>
      </w:hyperlink>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Frequenza</w:t>
      </w:r>
      <w:r w:rsidDel="00000000" w:rsidR="00000000" w:rsidRPr="00000000">
        <w:rPr>
          <w:rtl w:val="0"/>
        </w:rPr>
      </w:r>
    </w:p>
    <w:p w:rsidR="00000000" w:rsidDel="00000000" w:rsidP="00000000" w:rsidRDefault="00000000" w:rsidRPr="00000000" w14:paraId="00000163">
      <w:pPr>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 obbligatoria la frequenza a tutte le attività didattiche di laboratorio. Il rispetto della frequenza costituisce</w:t>
      </w:r>
    </w:p>
    <w:p w:rsidR="00000000" w:rsidDel="00000000" w:rsidP="00000000" w:rsidRDefault="00000000" w:rsidRPr="00000000" w14:paraId="00000164">
      <w:pPr>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premessa indispensabile per l’accesso alla verifica finale. La frequenza si ritiene rispettata se corrisponde</w:t>
      </w:r>
    </w:p>
    <w:p w:rsidR="00000000" w:rsidDel="00000000" w:rsidP="00000000" w:rsidRDefault="00000000" w:rsidRPr="00000000" w14:paraId="00000165">
      <w:pPr>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almeno al 75% del totale delle ore previste per le relative attività didattiche.</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Attività formative a scelta dello studente (D.M. 22 ottobre 2004 n.270. - art. 10, comma 5, lettera a).</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Lo studente potrà scegliere i CFU relativi alle attività formative a scelta tra tutte le attività formative offerte nei differenti Corsi di Laurea triennale dell’Ateneo.</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000000"/>
          <w:sz w:val="18"/>
          <w:szCs w:val="18"/>
          <w:rtl w:val="0"/>
        </w:rPr>
        <w:t xml:space="preserve">Lo studente avrà inoltre la possibilità di acquisire 6 dei 12 CFU previsti anche attraverso le attività proposte nell’ambito dei percorsi BBetween, progetto Sustainability (moduli didattici composti liberamente a scelta dello studente). Informazioni dettagliate su tale progetto sono disponibili alla pagina </w:t>
      </w:r>
      <w:hyperlink r:id="rId25">
        <w:r w:rsidDel="00000000" w:rsidR="00000000" w:rsidRPr="00000000">
          <w:rPr>
            <w:rFonts w:ascii="Comic Sans MS" w:cs="Comic Sans MS" w:eastAsia="Comic Sans MS" w:hAnsi="Comic Sans MS"/>
            <w:color w:val="1155cc"/>
            <w:sz w:val="18"/>
            <w:szCs w:val="18"/>
            <w:u w:val="single"/>
            <w:rtl w:val="0"/>
          </w:rPr>
          <w:t xml:space="preserve">https://www.unimib.it/bbetween/sustainability</w:t>
        </w:r>
      </w:hyperlink>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2et92p0" w:id="6"/>
      <w:bookmarkEnd w:id="6"/>
      <w:r w:rsidDel="00000000" w:rsidR="00000000" w:rsidRPr="00000000">
        <w:rPr>
          <w:rFonts w:ascii="Comic Sans MS" w:cs="Comic Sans MS" w:eastAsia="Comic Sans MS" w:hAnsi="Comic Sans MS"/>
          <w:color w:val="000000"/>
          <w:sz w:val="18"/>
          <w:szCs w:val="18"/>
          <w:rtl w:val="0"/>
        </w:rPr>
        <w:t xml:space="preserve">In base alla normativa vigente, ai fini del computo del numero complessivo degli esami, le attività a scelta dello studente contano per un solo esame.</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Altre attività formative</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u w:val="single"/>
        </w:rPr>
      </w:pPr>
      <w:r w:rsidDel="00000000" w:rsidR="00000000" w:rsidRPr="00000000">
        <w:rPr>
          <w:rFonts w:ascii="Comic Sans MS" w:cs="Comic Sans MS" w:eastAsia="Comic Sans MS" w:hAnsi="Comic Sans MS"/>
          <w:color w:val="000000"/>
          <w:sz w:val="18"/>
          <w:szCs w:val="18"/>
          <w:u w:val="single"/>
          <w:rtl w:val="0"/>
        </w:rPr>
        <w:t xml:space="preserve">Altre conoscenze utili per l'inserimento nel mondo del lavoro (D.M. 22 ottobre 2004 n.270 -  art.10, comma 5, lettera d)</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Il Corso di Laurea prevede per tutti gli studenti attività formative deputate alla conoscenza del mondo del lavoro. Tali attività possono prevedere sia incontri con rappresentanti del mondo del lavoro che visite presso industrie biotecnologiche. Per questa attività è previsto 1 CFU. E’ obbligatoria la frequenza. Il rispetto della frequenza costituisce premessa indispensabile per l’accesso alla verifica finale.</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u w:val="single"/>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u w:val="single"/>
        </w:rPr>
      </w:pPr>
      <w:r w:rsidDel="00000000" w:rsidR="00000000" w:rsidRPr="00000000">
        <w:rPr>
          <w:rFonts w:ascii="Comic Sans MS" w:cs="Comic Sans MS" w:eastAsia="Comic Sans MS" w:hAnsi="Comic Sans MS"/>
          <w:color w:val="000000"/>
          <w:sz w:val="18"/>
          <w:szCs w:val="18"/>
          <w:u w:val="single"/>
          <w:rtl w:val="0"/>
        </w:rPr>
        <w:t xml:space="preserve">Attività di Stage (D.M. 22 ottobre 2004 n.270 -  art.10, comma 5, lettera e).</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240"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Il Corso di Laurea prevede per tutti gli studenti attività formative di Stage da svolgersi presso imprese, enti pubblici o privati, ordini professionali. Per queste attività sono previsti 10 CFU. La modalità di verifica delle conoscenze apprese consiste nello sviluppo di una dissertazione scritta che deve essere approvata dal docente responsabile.</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240" w:line="240" w:lineRule="auto"/>
        <w:ind w:left="0" w:right="-82" w:hanging="2"/>
        <w:jc w:val="both"/>
        <w:rPr>
          <w:rFonts w:ascii="Comic Sans MS" w:cs="Comic Sans MS" w:eastAsia="Comic Sans MS" w:hAnsi="Comic Sans MS"/>
          <w:color w:val="1155cc"/>
          <w:sz w:val="18"/>
          <w:szCs w:val="18"/>
          <w:u w:val="single"/>
        </w:rPr>
      </w:pPr>
      <w:bookmarkStart w:colFirst="0" w:colLast="0" w:name="_heading=h.3rdcrjn" w:id="7"/>
      <w:bookmarkEnd w:id="7"/>
      <w:r w:rsidDel="00000000" w:rsidR="00000000" w:rsidRPr="00000000">
        <w:rPr>
          <w:rFonts w:ascii="Comic Sans MS" w:cs="Comic Sans MS" w:eastAsia="Comic Sans MS" w:hAnsi="Comic Sans MS"/>
          <w:color w:val="000000"/>
          <w:sz w:val="18"/>
          <w:szCs w:val="18"/>
          <w:rtl w:val="0"/>
        </w:rPr>
        <w:t xml:space="preserve">Per ulteriori informazioni si prega consultare:  </w:t>
      </w:r>
      <w:hyperlink r:id="rId26">
        <w:r w:rsidDel="00000000" w:rsidR="00000000" w:rsidRPr="00000000">
          <w:rPr>
            <w:rFonts w:ascii="Comic Sans MS" w:cs="Comic Sans MS" w:eastAsia="Comic Sans MS" w:hAnsi="Comic Sans MS"/>
            <w:color w:val="1155cc"/>
            <w:sz w:val="18"/>
            <w:szCs w:val="18"/>
            <w:u w:val="single"/>
            <w:rtl w:val="0"/>
          </w:rPr>
          <w:t xml:space="preserve">https://elearning.unimib.it/enrol/index.php?id=22365</w:t>
        </w:r>
      </w:hyperlink>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240" w:line="240" w:lineRule="auto"/>
        <w:ind w:left="0" w:right="-82" w:hanging="2"/>
        <w:jc w:val="both"/>
        <w:rPr>
          <w:rFonts w:ascii="Comic Sans MS" w:cs="Comic Sans MS" w:eastAsia="Comic Sans MS" w:hAnsi="Comic Sans MS"/>
          <w:sz w:val="18"/>
          <w:szCs w:val="18"/>
        </w:rPr>
      </w:pPr>
      <w:bookmarkStart w:colFirst="0" w:colLast="0" w:name="_heading=h.15v1fgly5ivx" w:id="8"/>
      <w:bookmarkEnd w:id="8"/>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Esami di laurea</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La prova finale per il conseguimento del titolo di studio consiste nello sviluppo di una relazione scritta su argomento di interesse biotecnologico ed approvata dal supervisore (relatore) e dà luogo all'acquisizione di 5 CFU. Al fine di verificare il lavoro svolto e le capacità di comunicare del candidato tale relazione viene presentata e discussa di fronte ad una Commissione durante la seduta di Laurea.</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bookmarkStart w:colFirst="0" w:colLast="0" w:name="_heading=h.26in1rg" w:id="9"/>
      <w:bookmarkEnd w:id="9"/>
      <w:r w:rsidDel="00000000" w:rsidR="00000000" w:rsidRPr="00000000">
        <w:rPr>
          <w:rFonts w:ascii="Comic Sans MS" w:cs="Comic Sans MS" w:eastAsia="Comic Sans MS" w:hAnsi="Comic Sans MS"/>
          <w:color w:val="000000"/>
          <w:sz w:val="18"/>
          <w:szCs w:val="18"/>
          <w:rtl w:val="0"/>
        </w:rPr>
        <w:t xml:space="preserve">La seduta di Laurea si svolge pubblicamente. La valutazione da parte della Commissione, basata sulla media pesata dei voti ottenuti nei singoli esami espressi in trentesimi, riportata in 110-mi, a cui può essere attribuito un incremento, tiene conto dell'intero percorso di studi dello studente, della maturità culturale e della capacità di elaborazione personale. Le prove finali si svolgono sull' arco di almeno 4 appelli. Il calendario delle prove finali e gli scadenziari corrispondenti sono stabiliti dal CCD e pubblicati sul sito web del corso di studio (</w:t>
      </w:r>
      <w:hyperlink r:id="rId27">
        <w:r w:rsidDel="00000000" w:rsidR="00000000" w:rsidRPr="00000000">
          <w:rPr>
            <w:rFonts w:ascii="Comic Sans MS" w:cs="Comic Sans MS" w:eastAsia="Comic Sans MS" w:hAnsi="Comic Sans MS"/>
            <w:color w:val="0000ff"/>
            <w:sz w:val="18"/>
            <w:szCs w:val="18"/>
            <w:u w:val="single"/>
            <w:rtl w:val="0"/>
          </w:rPr>
          <w:t xml:space="preserve">http://elearning.unimib.it/mod/page/view.php?id=227283</w:t>
        </w:r>
      </w:hyperlink>
      <w:r w:rsidDel="00000000" w:rsidR="00000000" w:rsidRPr="00000000">
        <w:rPr>
          <w:rFonts w:ascii="Comic Sans MS" w:cs="Comic Sans MS" w:eastAsia="Comic Sans MS" w:hAnsi="Comic Sans MS"/>
          <w:color w:val="000000"/>
          <w:sz w:val="18"/>
          <w:szCs w:val="18"/>
          <w:rtl w:val="0"/>
        </w:rPr>
        <w:t xml:space="preserve">) con almeno sei mesi di anticipo.</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Contatti</w:t>
      </w:r>
      <w:r w:rsidDel="00000000" w:rsidR="00000000" w:rsidRPr="00000000">
        <w:rPr>
          <w:rtl w:val="0"/>
        </w:rPr>
      </w:r>
    </w:p>
    <w:p w:rsidR="00000000" w:rsidDel="00000000" w:rsidP="00000000" w:rsidRDefault="00000000" w:rsidRPr="00000000" w14:paraId="0000017A">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Ufficio Servizi Didattici - Scienze</w:t>
      </w:r>
    </w:p>
    <w:p w:rsidR="00000000" w:rsidDel="00000000" w:rsidP="00000000" w:rsidRDefault="00000000" w:rsidRPr="00000000" w14:paraId="0000017B">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Settore Servizi Didattici e Servizi agli Studenti - Scienze</w:t>
      </w:r>
    </w:p>
    <w:p w:rsidR="00000000" w:rsidDel="00000000" w:rsidP="00000000" w:rsidRDefault="00000000" w:rsidRPr="00000000" w14:paraId="0000017C">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Area Didattica e dei Servizi agli Studenti</w:t>
      </w:r>
    </w:p>
    <w:p w:rsidR="00000000" w:rsidDel="00000000" w:rsidP="00000000" w:rsidRDefault="00000000" w:rsidRPr="00000000" w14:paraId="0000017D">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Università degli Studi di Milano – Bicocca</w:t>
      </w:r>
    </w:p>
    <w:p w:rsidR="00000000" w:rsidDel="00000000" w:rsidP="00000000" w:rsidRDefault="00000000" w:rsidRPr="00000000" w14:paraId="0000017E">
      <w:pPr>
        <w:ind w:right="-82"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F">
      <w:pPr>
        <w:ind w:right="-82"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Telefono: 02.6448.3346 - 3332</w:t>
      </w:r>
    </w:p>
    <w:p w:rsidR="00000000" w:rsidDel="00000000" w:rsidP="00000000" w:rsidRDefault="00000000" w:rsidRPr="00000000" w14:paraId="00000180">
      <w:pPr>
        <w:ind w:right="-82"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e-mail: didattica.btbs@unimib.it</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sito web: </w:t>
      </w:r>
      <w:hyperlink r:id="rId28">
        <w:r w:rsidDel="00000000" w:rsidR="00000000" w:rsidRPr="00000000">
          <w:rPr>
            <w:rFonts w:ascii="Comic Sans MS" w:cs="Comic Sans MS" w:eastAsia="Comic Sans MS" w:hAnsi="Comic Sans MS"/>
            <w:color w:val="0000ff"/>
            <w:sz w:val="18"/>
            <w:szCs w:val="18"/>
            <w:u w:val="single"/>
            <w:rtl w:val="0"/>
          </w:rPr>
          <w:t xml:space="preserve">https://elearning.unimib.it/course/index.php?categoryid=2645</w:t>
        </w:r>
      </w:hyperlink>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Sede del corso: Piazza della Scienza 2 – Ed. U3 -20126 Milano</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ff"/>
          <w:sz w:val="18"/>
          <w:szCs w:val="18"/>
          <w:u w:val="single"/>
        </w:rPr>
      </w:pPr>
      <w:bookmarkStart w:colFirst="0" w:colLast="0" w:name="_heading=h.lnxbz9" w:id="10"/>
      <w:bookmarkEnd w:id="10"/>
      <w:r w:rsidDel="00000000" w:rsidR="00000000" w:rsidRPr="00000000">
        <w:rPr>
          <w:rFonts w:ascii="Comic Sans MS" w:cs="Comic Sans MS" w:eastAsia="Comic Sans MS" w:hAnsi="Comic Sans MS"/>
          <w:color w:val="000000"/>
          <w:sz w:val="18"/>
          <w:szCs w:val="18"/>
          <w:rtl w:val="0"/>
        </w:rPr>
        <w:t xml:space="preserve">Per tutte le informazioni non presenti in questo documento si rimanda al Regolamento didattico di riferimento consultabile sul sito</w:t>
      </w:r>
      <w:r w:rsidDel="00000000" w:rsidR="00000000" w:rsidRPr="00000000">
        <w:rPr>
          <w:rFonts w:ascii="Comic Sans MS" w:cs="Comic Sans MS" w:eastAsia="Comic Sans MS" w:hAnsi="Comic Sans MS"/>
          <w:color w:val="0000ff"/>
          <w:sz w:val="18"/>
          <w:szCs w:val="18"/>
          <w:u w:val="single"/>
          <w:rtl w:val="0"/>
        </w:rPr>
        <w:t xml:space="preserve"> </w:t>
      </w:r>
      <w:hyperlink r:id="rId29">
        <w:r w:rsidDel="00000000" w:rsidR="00000000" w:rsidRPr="00000000">
          <w:rPr>
            <w:rFonts w:ascii="Comic Sans MS" w:cs="Comic Sans MS" w:eastAsia="Comic Sans MS" w:hAnsi="Comic Sans MS"/>
            <w:color w:val="0000ff"/>
            <w:sz w:val="18"/>
            <w:szCs w:val="18"/>
            <w:u w:val="single"/>
            <w:rtl w:val="0"/>
          </w:rPr>
          <w:t xml:space="preserve">https://elearning.unimib.it/mod/page/view.php?id=225475</w:t>
        </w:r>
      </w:hyperlink>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sectPr>
      <w:headerReference r:id="rId30" w:type="default"/>
      <w:headerReference r:id="rId31" w:type="first"/>
      <w:headerReference r:id="rId32" w:type="even"/>
      <w:footerReference r:id="rId33" w:type="default"/>
      <w:footerReference r:id="rId34" w:type="first"/>
      <w:footerReference r:id="rId35" w:type="even"/>
      <w:pgSz w:h="16838" w:w="11906" w:orient="portrait"/>
      <w:pgMar w:bottom="567"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ab/>
      <w:tab/>
      <w:tab/>
      <w:tab/>
    </w:r>
    <w:r w:rsidDel="00000000" w:rsidR="00000000" w:rsidRPr="00000000">
      <w:rPr>
        <w:rFonts w:ascii="Comic Sans MS" w:cs="Comic Sans MS" w:eastAsia="Comic Sans MS" w:hAnsi="Comic Sans MS"/>
        <w:color w:val="000000"/>
        <w:rtl w:val="0"/>
      </w:rPr>
      <w:t xml:space="preserve">Università degli Studi di Milano Bicocca</w:t>
    </w:r>
    <w:r w:rsidDel="00000000" w:rsidR="00000000" w:rsidRPr="00000000">
      <w:drawing>
        <wp:anchor allowOverlap="1" behindDoc="0" distB="0" distT="0" distL="114300" distR="114300" hidden="0" layoutInCell="1" locked="0" relativeHeight="0" simplePos="0">
          <wp:simplePos x="0" y="0"/>
          <wp:positionH relativeFrom="column">
            <wp:posOffset>3813</wp:posOffset>
          </wp:positionH>
          <wp:positionV relativeFrom="paragraph">
            <wp:posOffset>14605</wp:posOffset>
          </wp:positionV>
          <wp:extent cx="918210" cy="10045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8210" cy="1004570"/>
                  </a:xfrm>
                  <a:prstGeom prst="rect"/>
                  <a:ln/>
                </pic:spPr>
              </pic:pic>
            </a:graphicData>
          </a:graphic>
        </wp:anchor>
      </w:drawing>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Dipartimento di Biotecnologie e </w:t>
      <w:tab/>
      <w:t xml:space="preserve">Bioscienze</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Corso di Laurea in BIOTECNOLOGIE</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Manifesto annuale degli studi AA 2023/2024</w:t>
      <w:tab/>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pPr>
      <w:keepNext w:val="1"/>
      <w:keepLines w:val="1"/>
      <w:spacing w:after="120" w:before="48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Testofumetto">
    <w:name w:val="Balloon Text"/>
    <w:basedOn w:val="Normale"/>
    <w:rPr>
      <w:rFonts w:ascii="Segoe UI" w:cs="Segoe UI" w:hAnsi="Segoe UI"/>
      <w:sz w:val="18"/>
      <w:szCs w:val="18"/>
    </w:rPr>
  </w:style>
  <w:style w:type="character" w:styleId="TestofumettoCarattere" w:customStyle="1">
    <w:name w:val="Testo fumetto Carattere"/>
    <w:rPr>
      <w:rFonts w:ascii="Segoe UI" w:cs="Segoe UI" w:hAnsi="Segoe UI"/>
      <w:w w:val="100"/>
      <w:position w:val="-1"/>
      <w:sz w:val="18"/>
      <w:szCs w:val="18"/>
      <w:effect w:val="none"/>
      <w:vertAlign w:val="baseline"/>
      <w:cs w:val="0"/>
      <w:em w:val="none"/>
    </w:rPr>
  </w:style>
  <w:style w:type="paragraph" w:styleId="Intestazione">
    <w:name w:val="header"/>
    <w:basedOn w:val="Normale"/>
    <w:pPr>
      <w:tabs>
        <w:tab w:val="center" w:pos="4819"/>
        <w:tab w:val="right" w:pos="9638"/>
      </w:tabs>
    </w:pPr>
  </w:style>
  <w:style w:type="character" w:styleId="IntestazioneCarattere" w:customStyle="1">
    <w:name w:val="Intestazione Carattere"/>
    <w:rPr>
      <w:w w:val="100"/>
      <w:position w:val="-1"/>
      <w:sz w:val="24"/>
      <w:szCs w:val="24"/>
      <w:effect w:val="none"/>
      <w:vertAlign w:val="baseline"/>
      <w:cs w:val="0"/>
      <w:em w:val="none"/>
    </w:rPr>
  </w:style>
  <w:style w:type="paragraph" w:styleId="Pidipagina">
    <w:name w:val="footer"/>
    <w:basedOn w:val="Normale"/>
    <w:pPr>
      <w:tabs>
        <w:tab w:val="center" w:pos="4819"/>
        <w:tab w:val="right" w:pos="9638"/>
      </w:tabs>
    </w:pPr>
  </w:style>
  <w:style w:type="character" w:styleId="PidipaginaCarattere" w:customStyle="1">
    <w:name w:val="Piè di pagina Carattere"/>
    <w:rPr>
      <w:w w:val="100"/>
      <w:position w:val="-1"/>
      <w:sz w:val="24"/>
      <w:szCs w:val="24"/>
      <w:effect w:val="none"/>
      <w:vertAlign w:val="baseline"/>
      <w:cs w:val="0"/>
      <w:em w:val="none"/>
    </w:rPr>
  </w:style>
  <w:style w:type="paragraph" w:styleId="Paragrafoelenco">
    <w:name w:val="List Paragraph"/>
    <w:basedOn w:val="Normale"/>
    <w:pPr>
      <w:spacing w:after="200" w:line="276" w:lineRule="auto"/>
      <w:ind w:left="720"/>
      <w:contextualSpacing w:val="1"/>
    </w:pPr>
    <w:rPr>
      <w:rFonts w:ascii="Calibri" w:eastAsia="Calibri" w:hAnsi="Calibri"/>
      <w:sz w:val="22"/>
      <w:szCs w:val="22"/>
      <w:lang w:eastAsia="en-US"/>
    </w:rPr>
  </w:style>
  <w:style w:type="paragraph" w:styleId="NormaleWeb">
    <w:name w:val="Normal (Web)"/>
    <w:basedOn w:val="Normale"/>
    <w:qFormat w:val="1"/>
    <w:pPr>
      <w:spacing w:after="150"/>
    </w:p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70.0" w:type="dxa"/>
        <w:right w:w="70.0" w:type="dxa"/>
      </w:tblCellMar>
    </w:tblPr>
  </w:style>
  <w:style w:type="table" w:styleId="a6"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nimib.it/servizi/segreterie-studenti/piani-degli-studi" TargetMode="External"/><Relationship Id="rId22" Type="http://schemas.openxmlformats.org/officeDocument/2006/relationships/hyperlink" Target="https://elearning.unimib.it/mod/page/view.php?id=227245" TargetMode="External"/><Relationship Id="rId21" Type="http://schemas.openxmlformats.org/officeDocument/2006/relationships/hyperlink" Target="https://elearning.unimib.it/course/index.php?categoryid=2645" TargetMode="External"/><Relationship Id="rId24" Type="http://schemas.openxmlformats.org/officeDocument/2006/relationships/hyperlink" Target="https://s3w.si.unimib.it/Home.do" TargetMode="External"/><Relationship Id="rId23" Type="http://schemas.openxmlformats.org/officeDocument/2006/relationships/hyperlink" Target="http://gestioneorari.didattica.unimib.it/PortaleStudentiUnimi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earning.unimib.it/mod/page/view.php?id=225475" TargetMode="External"/><Relationship Id="rId26" Type="http://schemas.openxmlformats.org/officeDocument/2006/relationships/hyperlink" Target="https://elearning.unimib.it/enrol/index.php?id=22365" TargetMode="External"/><Relationship Id="rId25" Type="http://schemas.openxmlformats.org/officeDocument/2006/relationships/hyperlink" Target="https://www.unimib.it/bbetween/sustainability" TargetMode="External"/><Relationship Id="rId28" Type="http://schemas.openxmlformats.org/officeDocument/2006/relationships/hyperlink" Target="https://elearning.unimib.it/course/index.php?categoryid=2645" TargetMode="External"/><Relationship Id="rId27" Type="http://schemas.openxmlformats.org/officeDocument/2006/relationships/hyperlink" Target="http://elearning.unimib.it/mod/page/view.php?id=22728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learning.unimib.it/mod/page/view.php?id=225475" TargetMode="External"/><Relationship Id="rId7" Type="http://schemas.openxmlformats.org/officeDocument/2006/relationships/hyperlink" Target="https://elearning.unimib.it/mod/page/view.php?id=225475" TargetMode="External"/><Relationship Id="rId8" Type="http://schemas.openxmlformats.org/officeDocument/2006/relationships/hyperlink" Target="https://elearning.unimib.it/mod/page/view.php?id=225475" TargetMode="External"/><Relationship Id="rId31" Type="http://schemas.openxmlformats.org/officeDocument/2006/relationships/header" Target="header3.xml"/><Relationship Id="rId30" Type="http://schemas.openxmlformats.org/officeDocument/2006/relationships/header" Target="header1.xml"/><Relationship Id="rId11" Type="http://schemas.openxmlformats.org/officeDocument/2006/relationships/hyperlink" Target="https://www.unimib.it/triennale/biotecnologie" TargetMode="External"/><Relationship Id="rId33" Type="http://schemas.openxmlformats.org/officeDocument/2006/relationships/footer" Target="footer3.xml"/><Relationship Id="rId10" Type="http://schemas.openxmlformats.org/officeDocument/2006/relationships/hyperlink" Target="http://www.cisiaonline.it" TargetMode="External"/><Relationship Id="rId32" Type="http://schemas.openxmlformats.org/officeDocument/2006/relationships/header" Target="header2.xml"/><Relationship Id="rId13" Type="http://schemas.openxmlformats.org/officeDocument/2006/relationships/hyperlink" Target="https://www.scienze.unimib.it/it/scuola" TargetMode="External"/><Relationship Id="rId35" Type="http://schemas.openxmlformats.org/officeDocument/2006/relationships/footer" Target="footer1.xml"/><Relationship Id="rId12" Type="http://schemas.openxmlformats.org/officeDocument/2006/relationships/hyperlink" Target="https://www.scienze.unimib.it/it/pre-corsi" TargetMode="External"/><Relationship Id="rId34" Type="http://schemas.openxmlformats.org/officeDocument/2006/relationships/footer" Target="footer2.xml"/><Relationship Id="rId15" Type="http://schemas.openxmlformats.org/officeDocument/2006/relationships/hyperlink" Target="https://www.unimib.it/servizi/studenti-e-laureati/segreterie-studenti/passaggi-trasferimenti-e-rinunce" TargetMode="External"/><Relationship Id="rId14" Type="http://schemas.openxmlformats.org/officeDocument/2006/relationships/hyperlink" Target="https://www.unimib.it/triennale/biotecnologie" TargetMode="External"/><Relationship Id="rId17" Type="http://schemas.openxmlformats.org/officeDocument/2006/relationships/hyperlink" Target="https://www.unimib.it/servizi/segreterie-studenti/rinnova-liscrizione" TargetMode="External"/><Relationship Id="rId16" Type="http://schemas.openxmlformats.org/officeDocument/2006/relationships/hyperlink" Target="https://www.unimib.it/didattica/lingue-unimib" TargetMode="External"/><Relationship Id="rId19" Type="http://schemas.openxmlformats.org/officeDocument/2006/relationships/hyperlink" Target="https://elearning.unimib.it/course/index.php?categoryid=3568" TargetMode="External"/><Relationship Id="rId18" Type="http://schemas.openxmlformats.org/officeDocument/2006/relationships/hyperlink" Target="http://gestioneorari.didattica.unimib.it/PortaleStudentiUnimi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ZrMeTMv9ny4Fn5A07cFPIZDPw==">CgMxLjAyCWguMWZvYjl0ZTIJaC4zem55c2g3Mg1oLnJoMHVqdHJrc3Q5MgloLjNkeTZ2a20yCWguMnM4ZXlvMTIJaC4xN2RwOHZ1MgloLjJldDkycDAyCWguM3JkY3JqbjIOaC4xNXYxZmdseTVpdngyCWguMjZpbjFyZzIIaC5sbnhiejk4AHIhMXpSdUxPWXF1aXJLc1M5NktYU3FsRDVYOTFHbUlrYV9P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2023-04-28T20:23:00Z</dcterms:created>
  <dc:creator>giorgione</dc:creator>
</cp:coreProperties>
</file>