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07C72" w14:textId="77777777" w:rsidR="00D91F3B" w:rsidRPr="001352D0" w:rsidRDefault="00D91F3B" w:rsidP="00D91F3B">
      <w:pPr>
        <w:rPr>
          <w:rFonts w:ascii="Segoe UI" w:hAnsi="Segoe UI" w:cs="Segoe UI"/>
          <w:b/>
          <w:bCs/>
          <w:color w:val="002D72" w:themeColor="text2"/>
          <w:sz w:val="20"/>
          <w:szCs w:val="20"/>
          <w:u w:val="single"/>
        </w:rPr>
      </w:pPr>
      <w:r w:rsidRPr="001352D0">
        <w:rPr>
          <w:rFonts w:ascii="Segoe UI" w:hAnsi="Segoe UI" w:cs="Segoe UI"/>
          <w:b/>
          <w:bCs/>
          <w:color w:val="002D72" w:themeColor="text2"/>
          <w:sz w:val="20"/>
          <w:szCs w:val="20"/>
          <w:u w:val="single"/>
        </w:rPr>
        <w:t>JOB PROFILE SUMMARY</w:t>
      </w:r>
    </w:p>
    <w:p w14:paraId="0542D9FD" w14:textId="7C167ABB" w:rsidR="00D91F3B" w:rsidRPr="001352D0" w:rsidRDefault="00D91F3B" w:rsidP="00D91F3B">
      <w:pPr>
        <w:rPr>
          <w:rFonts w:ascii="Segoe UI" w:hAnsi="Segoe UI" w:cs="Segoe UI"/>
          <w:sz w:val="20"/>
          <w:szCs w:val="20"/>
        </w:rPr>
      </w:pPr>
      <w:r w:rsidRPr="001352D0">
        <w:rPr>
          <w:rFonts w:ascii="Segoe UI" w:hAnsi="Segoe UI" w:cs="Segoe UI"/>
          <w:b/>
          <w:bCs/>
          <w:sz w:val="20"/>
          <w:szCs w:val="20"/>
        </w:rPr>
        <w:t>Job Title</w:t>
      </w:r>
      <w:r w:rsidR="00D4161C" w:rsidRPr="001352D0">
        <w:rPr>
          <w:rFonts w:ascii="Segoe UI" w:hAnsi="Segoe UI" w:cs="Segoe UI"/>
          <w:b/>
          <w:bCs/>
          <w:sz w:val="20"/>
          <w:szCs w:val="20"/>
        </w:rPr>
        <w:t>:</w:t>
      </w:r>
      <w:r w:rsidR="00D4161C" w:rsidRPr="001352D0">
        <w:rPr>
          <w:rFonts w:ascii="Segoe UI" w:hAnsi="Segoe UI" w:cs="Segoe UI"/>
          <w:sz w:val="20"/>
          <w:szCs w:val="20"/>
        </w:rPr>
        <w:t xml:space="preserve"> </w:t>
      </w:r>
      <w:r w:rsidRPr="001352D0">
        <w:rPr>
          <w:rFonts w:ascii="Segoe UI" w:hAnsi="Segoe UI" w:cs="Segoe UI"/>
          <w:sz w:val="20"/>
          <w:szCs w:val="20"/>
        </w:rPr>
        <w:t xml:space="preserve">EM </w:t>
      </w:r>
      <w:r w:rsidR="000151BE" w:rsidRPr="001352D0">
        <w:rPr>
          <w:rFonts w:ascii="Segoe UI" w:hAnsi="Segoe UI" w:cs="Segoe UI"/>
          <w:sz w:val="20"/>
          <w:szCs w:val="20"/>
        </w:rPr>
        <w:t xml:space="preserve">Quantitative </w:t>
      </w:r>
      <w:r w:rsidRPr="001352D0">
        <w:rPr>
          <w:rFonts w:ascii="Segoe UI" w:hAnsi="Segoe UI" w:cs="Segoe UI"/>
          <w:sz w:val="20"/>
          <w:szCs w:val="20"/>
        </w:rPr>
        <w:t>Risk Analyst</w:t>
      </w:r>
    </w:p>
    <w:p w14:paraId="70B177B4" w14:textId="2E9BB200" w:rsidR="00D91F3B" w:rsidRPr="001352D0" w:rsidRDefault="00D91F3B" w:rsidP="00D91F3B">
      <w:pPr>
        <w:rPr>
          <w:rFonts w:ascii="Segoe UI" w:hAnsi="Segoe UI" w:cs="Segoe UI"/>
          <w:sz w:val="20"/>
          <w:szCs w:val="20"/>
        </w:rPr>
      </w:pPr>
      <w:r w:rsidRPr="001352D0">
        <w:rPr>
          <w:rFonts w:ascii="Segoe UI" w:hAnsi="Segoe UI" w:cs="Segoe UI"/>
          <w:b/>
          <w:bCs/>
          <w:sz w:val="20"/>
          <w:szCs w:val="20"/>
        </w:rPr>
        <w:t>Reports to</w:t>
      </w:r>
      <w:r w:rsidR="00D4161C" w:rsidRPr="001352D0">
        <w:rPr>
          <w:rFonts w:ascii="Segoe UI" w:hAnsi="Segoe UI" w:cs="Segoe UI"/>
          <w:b/>
          <w:bCs/>
          <w:sz w:val="20"/>
          <w:szCs w:val="20"/>
        </w:rPr>
        <w:t>:</w:t>
      </w:r>
      <w:r w:rsidR="00D4161C" w:rsidRPr="001352D0">
        <w:rPr>
          <w:rFonts w:ascii="Segoe UI" w:hAnsi="Segoe UI" w:cs="Segoe UI"/>
          <w:sz w:val="20"/>
          <w:szCs w:val="20"/>
        </w:rPr>
        <w:t xml:space="preserve"> </w:t>
      </w:r>
      <w:r w:rsidRPr="001352D0">
        <w:rPr>
          <w:rFonts w:ascii="Segoe UI" w:hAnsi="Segoe UI" w:cs="Segoe UI"/>
          <w:sz w:val="20"/>
          <w:szCs w:val="20"/>
        </w:rPr>
        <w:t xml:space="preserve">Head of Market Risk </w:t>
      </w:r>
    </w:p>
    <w:p w14:paraId="2EFED1EB" w14:textId="77777777" w:rsidR="00D91F3B" w:rsidRPr="001352D0" w:rsidRDefault="00D91F3B" w:rsidP="00D91F3B">
      <w:pPr>
        <w:rPr>
          <w:rFonts w:ascii="Segoe UI" w:hAnsi="Segoe UI" w:cs="Segoe UI"/>
          <w:sz w:val="20"/>
          <w:szCs w:val="20"/>
        </w:rPr>
      </w:pPr>
    </w:p>
    <w:p w14:paraId="00C7EDCE" w14:textId="77777777" w:rsidR="00D91F3B" w:rsidRPr="001352D0" w:rsidRDefault="00D91F3B" w:rsidP="00D91F3B">
      <w:pPr>
        <w:rPr>
          <w:rFonts w:ascii="Segoe UI" w:hAnsi="Segoe UI" w:cs="Segoe UI"/>
          <w:b/>
          <w:bCs/>
          <w:sz w:val="20"/>
          <w:szCs w:val="20"/>
          <w:u w:val="single"/>
        </w:rPr>
      </w:pPr>
      <w:r w:rsidRPr="001352D0">
        <w:rPr>
          <w:rFonts w:ascii="Segoe UI" w:hAnsi="Segoe UI" w:cs="Segoe UI"/>
          <w:b/>
          <w:bCs/>
          <w:sz w:val="20"/>
          <w:szCs w:val="20"/>
          <w:u w:val="single"/>
        </w:rPr>
        <w:t xml:space="preserve">THE COMPANY </w:t>
      </w:r>
    </w:p>
    <w:p w14:paraId="10FAAB9D" w14:textId="1C88A992" w:rsidR="00D91F3B" w:rsidRPr="001352D0" w:rsidRDefault="00D91F3B" w:rsidP="00D91F3B">
      <w:pPr>
        <w:rPr>
          <w:rFonts w:ascii="Segoe UI" w:hAnsi="Segoe UI" w:cs="Segoe UI"/>
          <w:sz w:val="20"/>
          <w:szCs w:val="20"/>
        </w:rPr>
      </w:pPr>
      <w:r w:rsidRPr="001352D0">
        <w:rPr>
          <w:rFonts w:ascii="Segoe UI" w:hAnsi="Segoe UI" w:cs="Segoe UI"/>
          <w:sz w:val="20"/>
          <w:szCs w:val="20"/>
        </w:rPr>
        <w:t xml:space="preserve">Energy Markets (EM) is the energy markets heart of the SSE Group, securing value for SSE's asset portfolios in wholesale energy markets as we move towards our vision of being a leading energy company in a net zero world. We play a critical role as the short-term energy market asset optimiser, and a long-term energy market adviser, for all SSE's Business Units (across SSE's Wind, Hydro, Thermal, and Customer portfolios). This role for EM enables SSE to focus its investment in energy markets capabilities (including Trading, Risk Management, Energy Economics, Settlements and Advanced Analytics) </w:t>
      </w:r>
      <w:r w:rsidR="009314E4" w:rsidRPr="001352D0">
        <w:rPr>
          <w:rFonts w:ascii="Segoe UI" w:hAnsi="Segoe UI" w:cs="Segoe UI"/>
          <w:sz w:val="20"/>
          <w:szCs w:val="20"/>
        </w:rPr>
        <w:t>as</w:t>
      </w:r>
      <w:r w:rsidRPr="001352D0">
        <w:rPr>
          <w:rFonts w:ascii="Segoe UI" w:hAnsi="Segoe UI" w:cs="Segoe UI"/>
          <w:sz w:val="20"/>
          <w:szCs w:val="20"/>
        </w:rPr>
        <w:t xml:space="preserve"> one </w:t>
      </w:r>
      <w:r w:rsidR="009314E4" w:rsidRPr="001352D0">
        <w:rPr>
          <w:rFonts w:ascii="Segoe UI" w:hAnsi="Segoe UI" w:cs="Segoe UI"/>
          <w:sz w:val="20"/>
          <w:szCs w:val="20"/>
        </w:rPr>
        <w:t>center</w:t>
      </w:r>
      <w:r w:rsidRPr="001352D0">
        <w:rPr>
          <w:rFonts w:ascii="Segoe UI" w:hAnsi="Segoe UI" w:cs="Segoe UI"/>
          <w:sz w:val="20"/>
          <w:szCs w:val="20"/>
        </w:rPr>
        <w:t xml:space="preserve"> of excellence, with these enhanced capabilities supporting value creation and decision making across the SSE Group.</w:t>
      </w:r>
    </w:p>
    <w:p w14:paraId="7B966D37" w14:textId="77777777" w:rsidR="00D91F3B" w:rsidRPr="001352D0" w:rsidRDefault="00D91F3B" w:rsidP="00D91F3B">
      <w:pPr>
        <w:rPr>
          <w:rFonts w:ascii="Segoe UI" w:hAnsi="Segoe UI" w:cs="Segoe UI"/>
          <w:sz w:val="20"/>
          <w:szCs w:val="20"/>
        </w:rPr>
      </w:pPr>
    </w:p>
    <w:p w14:paraId="02C3913D" w14:textId="101B1C78" w:rsidR="00D91F3B" w:rsidRPr="001352D0" w:rsidRDefault="00D91F3B" w:rsidP="00D91F3B">
      <w:pPr>
        <w:rPr>
          <w:rFonts w:ascii="Segoe UI" w:hAnsi="Segoe UI" w:cs="Segoe UI"/>
          <w:b/>
          <w:bCs/>
          <w:sz w:val="20"/>
          <w:szCs w:val="20"/>
          <w:u w:val="single"/>
        </w:rPr>
      </w:pPr>
      <w:r w:rsidRPr="001352D0">
        <w:rPr>
          <w:rFonts w:ascii="Segoe UI" w:hAnsi="Segoe UI" w:cs="Segoe UI"/>
          <w:b/>
          <w:bCs/>
          <w:sz w:val="20"/>
          <w:szCs w:val="20"/>
          <w:u w:val="single"/>
        </w:rPr>
        <w:t>THE ROLE</w:t>
      </w:r>
    </w:p>
    <w:p w14:paraId="41646D07" w14:textId="4BB51E6F" w:rsidR="001B34C3" w:rsidRPr="001352D0" w:rsidRDefault="00D91F3B" w:rsidP="00095D65">
      <w:pPr>
        <w:rPr>
          <w:rFonts w:ascii="Segoe UI" w:hAnsi="Segoe UI" w:cs="Segoe UI"/>
          <w:sz w:val="20"/>
          <w:szCs w:val="20"/>
        </w:rPr>
      </w:pPr>
      <w:r w:rsidRPr="001352D0">
        <w:rPr>
          <w:rFonts w:ascii="Segoe UI" w:hAnsi="Segoe UI" w:cs="Segoe UI"/>
          <w:sz w:val="20"/>
          <w:szCs w:val="20"/>
        </w:rPr>
        <w:t xml:space="preserve">The EM </w:t>
      </w:r>
      <w:r w:rsidR="000A6892" w:rsidRPr="001352D0">
        <w:rPr>
          <w:rFonts w:ascii="Segoe UI" w:hAnsi="Segoe UI" w:cs="Segoe UI"/>
          <w:sz w:val="20"/>
          <w:szCs w:val="20"/>
        </w:rPr>
        <w:t xml:space="preserve">Market </w:t>
      </w:r>
      <w:r w:rsidRPr="001352D0">
        <w:rPr>
          <w:rFonts w:ascii="Segoe UI" w:hAnsi="Segoe UI" w:cs="Segoe UI"/>
          <w:sz w:val="20"/>
          <w:szCs w:val="20"/>
        </w:rPr>
        <w:t>Risk team measures and monitors the financial risks inherent within the wholesale energy markets in which SSE operates. We are seeking a</w:t>
      </w:r>
      <w:r w:rsidR="002540AD" w:rsidRPr="001352D0">
        <w:rPr>
          <w:rFonts w:ascii="Segoe UI" w:hAnsi="Segoe UI" w:cs="Segoe UI"/>
          <w:sz w:val="20"/>
          <w:szCs w:val="20"/>
        </w:rPr>
        <w:t>n experienced</w:t>
      </w:r>
      <w:r w:rsidRPr="001352D0">
        <w:rPr>
          <w:rFonts w:ascii="Segoe UI" w:hAnsi="Segoe UI" w:cs="Segoe UI"/>
          <w:sz w:val="20"/>
          <w:szCs w:val="20"/>
        </w:rPr>
        <w:t xml:space="preserve"> </w:t>
      </w:r>
      <w:r w:rsidR="00EA2137" w:rsidRPr="001352D0">
        <w:rPr>
          <w:rFonts w:ascii="Segoe UI" w:hAnsi="Segoe UI" w:cs="Segoe UI"/>
          <w:b/>
          <w:bCs/>
          <w:sz w:val="20"/>
          <w:szCs w:val="20"/>
        </w:rPr>
        <w:t>Q</w:t>
      </w:r>
      <w:r w:rsidRPr="001352D0">
        <w:rPr>
          <w:rFonts w:ascii="Segoe UI" w:hAnsi="Segoe UI" w:cs="Segoe UI"/>
          <w:b/>
          <w:bCs/>
          <w:sz w:val="20"/>
          <w:szCs w:val="20"/>
        </w:rPr>
        <w:t>uantitative</w:t>
      </w:r>
      <w:r w:rsidRPr="001352D0">
        <w:rPr>
          <w:rFonts w:ascii="Segoe UI" w:hAnsi="Segoe UI" w:cs="Segoe UI"/>
          <w:sz w:val="20"/>
          <w:szCs w:val="20"/>
        </w:rPr>
        <w:t xml:space="preserve"> </w:t>
      </w:r>
      <w:r w:rsidRPr="001352D0">
        <w:rPr>
          <w:rFonts w:ascii="Segoe UI" w:hAnsi="Segoe UI" w:cs="Segoe UI"/>
          <w:b/>
          <w:bCs/>
          <w:sz w:val="20"/>
          <w:szCs w:val="20"/>
        </w:rPr>
        <w:t>Analyst</w:t>
      </w:r>
      <w:r w:rsidRPr="001352D0">
        <w:rPr>
          <w:rFonts w:ascii="Segoe UI" w:hAnsi="Segoe UI" w:cs="Segoe UI"/>
          <w:sz w:val="20"/>
          <w:szCs w:val="20"/>
        </w:rPr>
        <w:t xml:space="preserve"> to lead </w:t>
      </w:r>
      <w:r w:rsidR="00811291" w:rsidRPr="001352D0">
        <w:rPr>
          <w:rFonts w:ascii="Segoe UI" w:hAnsi="Segoe UI" w:cs="Segoe UI"/>
          <w:sz w:val="20"/>
          <w:szCs w:val="20"/>
        </w:rPr>
        <w:t xml:space="preserve">and support </w:t>
      </w:r>
      <w:r w:rsidRPr="001352D0">
        <w:rPr>
          <w:rFonts w:ascii="Segoe UI" w:hAnsi="Segoe UI" w:cs="Segoe UI"/>
          <w:sz w:val="20"/>
          <w:szCs w:val="20"/>
        </w:rPr>
        <w:t xml:space="preserve">the development and enhancement of our core numerical techniques for measuring market risk exposure across our portfolio </w:t>
      </w:r>
      <w:r w:rsidR="00D325D0" w:rsidRPr="001352D0">
        <w:rPr>
          <w:rFonts w:ascii="Segoe UI" w:hAnsi="Segoe UI" w:cs="Segoe UI"/>
          <w:sz w:val="20"/>
          <w:szCs w:val="20"/>
        </w:rPr>
        <w:t>of physical</w:t>
      </w:r>
      <w:r w:rsidRPr="001352D0">
        <w:rPr>
          <w:rFonts w:ascii="Segoe UI" w:hAnsi="Segoe UI" w:cs="Segoe UI"/>
          <w:sz w:val="20"/>
          <w:szCs w:val="20"/>
        </w:rPr>
        <w:t xml:space="preserve"> assets and non-standard bilateral contracts. This role is central to our risk management framework and requires a strong background in risk modelling and energy market mechanics. </w:t>
      </w:r>
      <w:r w:rsidR="00095D65" w:rsidRPr="001352D0">
        <w:rPr>
          <w:rFonts w:ascii="Segoe UI" w:hAnsi="Segoe UI" w:cs="Segoe UI"/>
          <w:sz w:val="20"/>
          <w:szCs w:val="20"/>
        </w:rPr>
        <w:t>The role will also suppor</w:t>
      </w:r>
      <w:r w:rsidR="001B34C3" w:rsidRPr="001352D0">
        <w:rPr>
          <w:rFonts w:ascii="Segoe UI" w:hAnsi="Segoe UI" w:cs="Segoe UI"/>
          <w:sz w:val="20"/>
          <w:szCs w:val="20"/>
        </w:rPr>
        <w:t>t and</w:t>
      </w:r>
      <w:r w:rsidR="00095D65" w:rsidRPr="001352D0">
        <w:rPr>
          <w:rFonts w:ascii="Segoe UI" w:hAnsi="Segoe UI" w:cs="Segoe UI"/>
          <w:sz w:val="20"/>
          <w:szCs w:val="20"/>
        </w:rPr>
        <w:t xml:space="preserve"> drive </w:t>
      </w:r>
      <w:r w:rsidR="007A2E31" w:rsidRPr="001352D0">
        <w:rPr>
          <w:rFonts w:ascii="Segoe UI" w:hAnsi="Segoe UI" w:cs="Segoe UI"/>
          <w:sz w:val="20"/>
          <w:szCs w:val="20"/>
        </w:rPr>
        <w:t xml:space="preserve">the development of Systematic Trading capabilities within EM, </w:t>
      </w:r>
      <w:r w:rsidR="00C86895" w:rsidRPr="001352D0">
        <w:rPr>
          <w:rFonts w:ascii="Segoe UI" w:hAnsi="Segoe UI" w:cs="Segoe UI"/>
          <w:sz w:val="20"/>
          <w:szCs w:val="20"/>
        </w:rPr>
        <w:t>working clos</w:t>
      </w:r>
      <w:r w:rsidR="00F66088" w:rsidRPr="001352D0">
        <w:rPr>
          <w:rFonts w:ascii="Segoe UI" w:hAnsi="Segoe UI" w:cs="Segoe UI"/>
          <w:sz w:val="20"/>
          <w:szCs w:val="20"/>
        </w:rPr>
        <w:t xml:space="preserve">ely </w:t>
      </w:r>
      <w:r w:rsidR="004624BE" w:rsidRPr="001352D0">
        <w:rPr>
          <w:rFonts w:ascii="Segoe UI" w:hAnsi="Segoe UI" w:cs="Segoe UI"/>
          <w:sz w:val="20"/>
          <w:szCs w:val="20"/>
        </w:rPr>
        <w:t xml:space="preserve">with </w:t>
      </w:r>
      <w:r w:rsidR="00C7426E" w:rsidRPr="001352D0">
        <w:rPr>
          <w:rFonts w:ascii="Segoe UI" w:hAnsi="Segoe UI" w:cs="Segoe UI"/>
          <w:sz w:val="20"/>
          <w:szCs w:val="20"/>
        </w:rPr>
        <w:t>Trading and Commercial quantitative analysts</w:t>
      </w:r>
      <w:r w:rsidR="00824799" w:rsidRPr="001352D0">
        <w:rPr>
          <w:rFonts w:ascii="Segoe UI" w:hAnsi="Segoe UI" w:cs="Segoe UI"/>
          <w:sz w:val="20"/>
          <w:szCs w:val="20"/>
        </w:rPr>
        <w:t xml:space="preserve"> and focusing on Strategy Workflow risk management.  </w:t>
      </w:r>
    </w:p>
    <w:p w14:paraId="4B7128DF" w14:textId="77777777" w:rsidR="001B34C3" w:rsidRPr="001352D0" w:rsidRDefault="001B34C3" w:rsidP="00095D65">
      <w:pPr>
        <w:rPr>
          <w:rFonts w:ascii="Segoe UI" w:hAnsi="Segoe UI" w:cs="Segoe UI"/>
          <w:sz w:val="20"/>
          <w:szCs w:val="20"/>
        </w:rPr>
      </w:pPr>
    </w:p>
    <w:p w14:paraId="3451783A" w14:textId="7B53EBC1" w:rsidR="00D91F3B" w:rsidRPr="001352D0" w:rsidRDefault="00D91F3B" w:rsidP="00D91F3B">
      <w:pPr>
        <w:rPr>
          <w:rFonts w:ascii="Segoe UI" w:hAnsi="Segoe UI" w:cs="Segoe UI"/>
          <w:b/>
          <w:bCs/>
          <w:sz w:val="20"/>
          <w:szCs w:val="20"/>
          <w:u w:val="single"/>
        </w:rPr>
      </w:pPr>
      <w:r w:rsidRPr="001352D0">
        <w:rPr>
          <w:rFonts w:ascii="Segoe UI" w:hAnsi="Segoe UI" w:cs="Segoe UI"/>
          <w:b/>
          <w:bCs/>
          <w:sz w:val="20"/>
          <w:szCs w:val="20"/>
          <w:u w:val="single"/>
        </w:rPr>
        <w:t xml:space="preserve">KEY ACCOUNTABILITIES </w:t>
      </w:r>
    </w:p>
    <w:p w14:paraId="636D7494" w14:textId="40EB5A4D" w:rsidR="00D91F3B" w:rsidRPr="001352D0" w:rsidRDefault="00D91F3B" w:rsidP="00D91F3B">
      <w:pPr>
        <w:rPr>
          <w:rFonts w:ascii="Segoe UI" w:hAnsi="Segoe UI" w:cs="Segoe UI"/>
          <w:b/>
          <w:bCs/>
          <w:sz w:val="20"/>
          <w:szCs w:val="20"/>
        </w:rPr>
      </w:pPr>
      <w:r w:rsidRPr="001352D0">
        <w:rPr>
          <w:rFonts w:ascii="Segoe UI" w:hAnsi="Segoe UI" w:cs="Segoe UI"/>
          <w:b/>
          <w:bCs/>
          <w:sz w:val="20"/>
          <w:szCs w:val="20"/>
        </w:rPr>
        <w:t xml:space="preserve">Risk Modelling </w:t>
      </w:r>
      <w:r w:rsidRPr="001352D0">
        <w:rPr>
          <w:rFonts w:ascii="Segoe UI" w:hAnsi="Segoe UI" w:cs="Segoe UI"/>
          <w:sz w:val="20"/>
          <w:szCs w:val="20"/>
        </w:rPr>
        <w:br/>
      </w:r>
      <w:r w:rsidR="239C3A66" w:rsidRPr="001352D0">
        <w:rPr>
          <w:rFonts w:ascii="Segoe UI" w:hAnsi="Segoe UI" w:cs="Segoe UI"/>
          <w:sz w:val="20"/>
          <w:szCs w:val="20"/>
        </w:rPr>
        <w:t>Key focus on the</w:t>
      </w:r>
      <w:r w:rsidRPr="001352D0">
        <w:rPr>
          <w:rFonts w:ascii="Segoe UI" w:hAnsi="Segoe UI" w:cs="Segoe UI"/>
          <w:sz w:val="20"/>
          <w:szCs w:val="20"/>
        </w:rPr>
        <w:t xml:space="preserve"> research, design, and implementation of numerical modelling techniques (e.g., Monte Carlo simulations, stochastic processes) to quantify and forecast market risk. Focus on market risk exposures arising from GB renewable (Wind, Solar) and Thermal assets (CCGT, Gas Storage), with expansion to other European Markets.</w:t>
      </w:r>
    </w:p>
    <w:p w14:paraId="7323F0A3" w14:textId="69B5B9C5" w:rsidR="00D91F3B" w:rsidRPr="001352D0" w:rsidRDefault="00D91F3B" w:rsidP="00D91F3B">
      <w:pPr>
        <w:rPr>
          <w:rFonts w:ascii="Segoe UI" w:hAnsi="Segoe UI" w:cs="Segoe UI"/>
          <w:sz w:val="20"/>
          <w:szCs w:val="20"/>
        </w:rPr>
      </w:pPr>
      <w:r w:rsidRPr="001352D0">
        <w:rPr>
          <w:rFonts w:ascii="Segoe UI" w:hAnsi="Segoe UI" w:cs="Segoe UI"/>
          <w:b/>
          <w:bCs/>
          <w:sz w:val="20"/>
          <w:szCs w:val="20"/>
        </w:rPr>
        <w:t>Risk Metrics &amp; Exposures</w:t>
      </w:r>
      <w:r w:rsidRPr="001352D0">
        <w:rPr>
          <w:rFonts w:ascii="Segoe UI" w:hAnsi="Segoe UI" w:cs="Segoe UI"/>
          <w:sz w:val="20"/>
          <w:szCs w:val="20"/>
        </w:rPr>
        <w:br/>
        <w:t>Analyse and model key risk exposures, including Value at Risk, Earnings at Risk, stress testing, and</w:t>
      </w:r>
      <w:r w:rsidR="00D4161C" w:rsidRPr="001352D0">
        <w:rPr>
          <w:rFonts w:ascii="Segoe UI" w:hAnsi="Segoe UI" w:cs="Segoe UI"/>
          <w:sz w:val="20"/>
          <w:szCs w:val="20"/>
        </w:rPr>
        <w:t xml:space="preserve"> </w:t>
      </w:r>
      <w:r w:rsidRPr="001352D0">
        <w:rPr>
          <w:rFonts w:ascii="Segoe UI" w:hAnsi="Segoe UI" w:cs="Segoe UI"/>
          <w:sz w:val="20"/>
          <w:szCs w:val="20"/>
        </w:rPr>
        <w:t>exposure to key commodity price drivers. Be comfortable with big data and demonstrate a flair for creating innovative solutions to meet changing needs and requirements.</w:t>
      </w:r>
    </w:p>
    <w:p w14:paraId="0E165704" w14:textId="4A9063EE" w:rsidR="00D91F3B" w:rsidRPr="001352D0" w:rsidRDefault="00D91F3B" w:rsidP="00D91F3B">
      <w:pPr>
        <w:rPr>
          <w:rFonts w:ascii="Segoe UI" w:hAnsi="Segoe UI" w:cs="Segoe UI"/>
          <w:sz w:val="20"/>
          <w:szCs w:val="20"/>
        </w:rPr>
      </w:pPr>
      <w:r w:rsidRPr="001352D0">
        <w:rPr>
          <w:rFonts w:ascii="Segoe UI" w:hAnsi="Segoe UI" w:cs="Segoe UI"/>
          <w:b/>
          <w:bCs/>
          <w:sz w:val="20"/>
          <w:szCs w:val="20"/>
        </w:rPr>
        <w:t>Technical Implementation</w:t>
      </w:r>
      <w:r w:rsidR="00C47F3F" w:rsidRPr="001352D0">
        <w:rPr>
          <w:rFonts w:ascii="Segoe UI" w:hAnsi="Segoe UI" w:cs="Segoe UI"/>
          <w:sz w:val="20"/>
          <w:szCs w:val="20"/>
        </w:rPr>
        <w:br/>
      </w:r>
      <w:r w:rsidRPr="001352D0">
        <w:rPr>
          <w:rFonts w:ascii="Segoe UI" w:hAnsi="Segoe UI" w:cs="Segoe UI"/>
          <w:sz w:val="20"/>
          <w:szCs w:val="20"/>
        </w:rPr>
        <w:t xml:space="preserve">Source, clean, and analyse high-frequency market data to calibrate models effectively. Work closely with </w:t>
      </w:r>
      <w:r w:rsidRPr="001352D0">
        <w:rPr>
          <w:rFonts w:ascii="Segoe UI" w:hAnsi="Segoe UI" w:cs="Segoe UI"/>
          <w:sz w:val="20"/>
          <w:szCs w:val="20"/>
        </w:rPr>
        <w:lastRenderedPageBreak/>
        <w:t xml:space="preserve">data and engineering teams to translate complex data models into </w:t>
      </w:r>
      <w:r w:rsidR="00C47F3F" w:rsidRPr="001352D0">
        <w:rPr>
          <w:rFonts w:ascii="Segoe UI" w:hAnsi="Segoe UI" w:cs="Segoe UI"/>
          <w:sz w:val="20"/>
          <w:szCs w:val="20"/>
        </w:rPr>
        <w:t>production</w:t>
      </w:r>
      <w:r w:rsidRPr="001352D0">
        <w:rPr>
          <w:rFonts w:ascii="Segoe UI" w:hAnsi="Segoe UI" w:cs="Segoe UI"/>
          <w:sz w:val="20"/>
          <w:szCs w:val="20"/>
        </w:rPr>
        <w:t xml:space="preserve"> code that supports our risk analysis software and risk reporting framework</w:t>
      </w:r>
    </w:p>
    <w:p w14:paraId="25A35A1D" w14:textId="28DD0C1F" w:rsidR="004C76A0" w:rsidRPr="001352D0" w:rsidRDefault="1BF331FC" w:rsidP="00CB0B33">
      <w:pPr>
        <w:spacing w:after="0"/>
        <w:rPr>
          <w:rFonts w:ascii="Segoe UI" w:hAnsi="Segoe UI" w:cs="Segoe UI"/>
          <w:b/>
          <w:bCs/>
          <w:sz w:val="20"/>
          <w:szCs w:val="20"/>
        </w:rPr>
      </w:pPr>
      <w:r w:rsidRPr="001352D0">
        <w:rPr>
          <w:rFonts w:ascii="Segoe UI" w:hAnsi="Segoe UI" w:cs="Segoe UI"/>
          <w:b/>
          <w:bCs/>
          <w:sz w:val="20"/>
          <w:szCs w:val="20"/>
        </w:rPr>
        <w:t>S</w:t>
      </w:r>
      <w:r w:rsidR="001942E3" w:rsidRPr="001352D0">
        <w:rPr>
          <w:rFonts w:ascii="Segoe UI" w:hAnsi="Segoe UI" w:cs="Segoe UI"/>
          <w:b/>
          <w:bCs/>
          <w:sz w:val="20"/>
          <w:szCs w:val="20"/>
        </w:rPr>
        <w:t xml:space="preserve">ystematic </w:t>
      </w:r>
      <w:r w:rsidR="001C7091" w:rsidRPr="001352D0">
        <w:rPr>
          <w:rFonts w:ascii="Segoe UI" w:hAnsi="Segoe UI" w:cs="Segoe UI"/>
          <w:b/>
          <w:bCs/>
          <w:sz w:val="20"/>
          <w:szCs w:val="20"/>
        </w:rPr>
        <w:t>Trading</w:t>
      </w:r>
    </w:p>
    <w:p w14:paraId="0556F5B3" w14:textId="0C7CAFD6" w:rsidR="00854EE7" w:rsidRPr="001352D0" w:rsidRDefault="004F6BB3" w:rsidP="00CB0B33">
      <w:pPr>
        <w:spacing w:after="0"/>
        <w:rPr>
          <w:rFonts w:ascii="Segoe UI" w:hAnsi="Segoe UI" w:cs="Segoe UI"/>
          <w:sz w:val="20"/>
          <w:szCs w:val="20"/>
        </w:rPr>
      </w:pPr>
      <w:r w:rsidRPr="001352D0">
        <w:rPr>
          <w:rFonts w:ascii="Segoe UI" w:hAnsi="Segoe UI" w:cs="Segoe UI"/>
          <w:sz w:val="20"/>
          <w:szCs w:val="20"/>
        </w:rPr>
        <w:t>Provide dedicated support to the</w:t>
      </w:r>
      <w:r w:rsidR="009C56B9" w:rsidRPr="001352D0">
        <w:rPr>
          <w:rFonts w:ascii="Segoe UI" w:hAnsi="Segoe UI" w:cs="Segoe UI"/>
          <w:sz w:val="20"/>
          <w:szCs w:val="20"/>
        </w:rPr>
        <w:t xml:space="preserve"> </w:t>
      </w:r>
      <w:r w:rsidR="008B7D59" w:rsidRPr="001352D0">
        <w:rPr>
          <w:rFonts w:ascii="Segoe UI" w:hAnsi="Segoe UI" w:cs="Segoe UI"/>
          <w:sz w:val="20"/>
          <w:szCs w:val="20"/>
        </w:rPr>
        <w:t>development</w:t>
      </w:r>
      <w:r w:rsidR="00CA2128" w:rsidRPr="001352D0">
        <w:rPr>
          <w:rFonts w:ascii="Segoe UI" w:hAnsi="Segoe UI" w:cs="Segoe UI"/>
          <w:sz w:val="20"/>
          <w:szCs w:val="20"/>
        </w:rPr>
        <w:t xml:space="preserve"> </w:t>
      </w:r>
      <w:r w:rsidR="00B8141C" w:rsidRPr="001352D0">
        <w:rPr>
          <w:rFonts w:ascii="Segoe UI" w:hAnsi="Segoe UI" w:cs="Segoe UI"/>
          <w:sz w:val="20"/>
          <w:szCs w:val="20"/>
        </w:rPr>
        <w:t xml:space="preserve">of </w:t>
      </w:r>
      <w:r w:rsidR="00E06A3C" w:rsidRPr="001352D0">
        <w:rPr>
          <w:rFonts w:ascii="Segoe UI" w:hAnsi="Segoe UI" w:cs="Segoe UI"/>
          <w:sz w:val="20"/>
          <w:szCs w:val="20"/>
        </w:rPr>
        <w:t>S</w:t>
      </w:r>
      <w:r w:rsidR="00CA2128" w:rsidRPr="001352D0">
        <w:rPr>
          <w:rFonts w:ascii="Segoe UI" w:hAnsi="Segoe UI" w:cs="Segoe UI"/>
          <w:sz w:val="20"/>
          <w:szCs w:val="20"/>
        </w:rPr>
        <w:t>ystemat</w:t>
      </w:r>
      <w:r w:rsidR="00570409" w:rsidRPr="001352D0">
        <w:rPr>
          <w:rFonts w:ascii="Segoe UI" w:hAnsi="Segoe UI" w:cs="Segoe UI"/>
          <w:sz w:val="20"/>
          <w:szCs w:val="20"/>
        </w:rPr>
        <w:t>ic Trad</w:t>
      </w:r>
      <w:r w:rsidR="00F42F2D" w:rsidRPr="001352D0">
        <w:rPr>
          <w:rFonts w:ascii="Segoe UI" w:hAnsi="Segoe UI" w:cs="Segoe UI"/>
          <w:sz w:val="20"/>
          <w:szCs w:val="20"/>
        </w:rPr>
        <w:t>ing capa</w:t>
      </w:r>
      <w:r w:rsidR="001C4026" w:rsidRPr="001352D0">
        <w:rPr>
          <w:rFonts w:ascii="Segoe UI" w:hAnsi="Segoe UI" w:cs="Segoe UI"/>
          <w:sz w:val="20"/>
          <w:szCs w:val="20"/>
        </w:rPr>
        <w:t>biliti</w:t>
      </w:r>
      <w:r w:rsidR="00492A52" w:rsidRPr="001352D0">
        <w:rPr>
          <w:rFonts w:ascii="Segoe UI" w:hAnsi="Segoe UI" w:cs="Segoe UI"/>
          <w:sz w:val="20"/>
          <w:szCs w:val="20"/>
        </w:rPr>
        <w:t>es</w:t>
      </w:r>
      <w:r w:rsidR="00BC0C5B" w:rsidRPr="001352D0">
        <w:rPr>
          <w:rFonts w:ascii="Segoe UI" w:hAnsi="Segoe UI" w:cs="Segoe UI"/>
          <w:sz w:val="20"/>
          <w:szCs w:val="20"/>
        </w:rPr>
        <w:t xml:space="preserve"> </w:t>
      </w:r>
      <w:r w:rsidR="00D7032B" w:rsidRPr="001352D0">
        <w:rPr>
          <w:rFonts w:ascii="Segoe UI" w:hAnsi="Segoe UI" w:cs="Segoe UI"/>
          <w:sz w:val="20"/>
          <w:szCs w:val="20"/>
        </w:rPr>
        <w:t>with</w:t>
      </w:r>
      <w:r w:rsidR="00B22C1B" w:rsidRPr="001352D0">
        <w:rPr>
          <w:rFonts w:ascii="Segoe UI" w:hAnsi="Segoe UI" w:cs="Segoe UI"/>
          <w:sz w:val="20"/>
          <w:szCs w:val="20"/>
        </w:rPr>
        <w:t>in EM</w:t>
      </w:r>
      <w:r w:rsidR="00372DA4" w:rsidRPr="001352D0">
        <w:rPr>
          <w:rFonts w:ascii="Segoe UI" w:hAnsi="Segoe UI" w:cs="Segoe UI"/>
          <w:sz w:val="20"/>
          <w:szCs w:val="20"/>
        </w:rPr>
        <w:t xml:space="preserve"> </w:t>
      </w:r>
      <w:r w:rsidR="00A4153A" w:rsidRPr="001352D0">
        <w:rPr>
          <w:rFonts w:ascii="Segoe UI" w:hAnsi="Segoe UI" w:cs="Segoe UI"/>
          <w:sz w:val="20"/>
          <w:szCs w:val="20"/>
        </w:rPr>
        <w:t>en</w:t>
      </w:r>
      <w:r w:rsidR="002C0E33" w:rsidRPr="001352D0">
        <w:rPr>
          <w:rFonts w:ascii="Segoe UI" w:hAnsi="Segoe UI" w:cs="Segoe UI"/>
          <w:sz w:val="20"/>
          <w:szCs w:val="20"/>
        </w:rPr>
        <w:t>suring appr</w:t>
      </w:r>
      <w:r w:rsidR="00EA32D6" w:rsidRPr="001352D0">
        <w:rPr>
          <w:rFonts w:ascii="Segoe UI" w:hAnsi="Segoe UI" w:cs="Segoe UI"/>
          <w:sz w:val="20"/>
          <w:szCs w:val="20"/>
        </w:rPr>
        <w:t>o</w:t>
      </w:r>
      <w:r w:rsidR="002C0E33" w:rsidRPr="001352D0">
        <w:rPr>
          <w:rFonts w:ascii="Segoe UI" w:hAnsi="Segoe UI" w:cs="Segoe UI"/>
          <w:sz w:val="20"/>
          <w:szCs w:val="20"/>
        </w:rPr>
        <w:t xml:space="preserve">priate risk </w:t>
      </w:r>
      <w:r w:rsidR="00FE45D7" w:rsidRPr="001352D0">
        <w:rPr>
          <w:rFonts w:ascii="Segoe UI" w:hAnsi="Segoe UI" w:cs="Segoe UI"/>
          <w:sz w:val="20"/>
          <w:szCs w:val="20"/>
        </w:rPr>
        <w:t xml:space="preserve">identification, </w:t>
      </w:r>
      <w:r w:rsidR="002C0E33" w:rsidRPr="001352D0">
        <w:rPr>
          <w:rFonts w:ascii="Segoe UI" w:hAnsi="Segoe UI" w:cs="Segoe UI"/>
          <w:sz w:val="20"/>
          <w:szCs w:val="20"/>
        </w:rPr>
        <w:t xml:space="preserve">assessment </w:t>
      </w:r>
      <w:r w:rsidR="00FE45D7" w:rsidRPr="001352D0">
        <w:rPr>
          <w:rFonts w:ascii="Segoe UI" w:hAnsi="Segoe UI" w:cs="Segoe UI"/>
          <w:sz w:val="20"/>
          <w:szCs w:val="20"/>
        </w:rPr>
        <w:t xml:space="preserve">and management </w:t>
      </w:r>
      <w:r w:rsidR="00277A87" w:rsidRPr="001352D0">
        <w:rPr>
          <w:rFonts w:ascii="Segoe UI" w:hAnsi="Segoe UI" w:cs="Segoe UI"/>
          <w:sz w:val="20"/>
          <w:szCs w:val="20"/>
        </w:rPr>
        <w:t>of</w:t>
      </w:r>
      <w:r w:rsidR="00EA32D6" w:rsidRPr="001352D0">
        <w:rPr>
          <w:rFonts w:ascii="Segoe UI" w:hAnsi="Segoe UI" w:cs="Segoe UI"/>
          <w:sz w:val="20"/>
          <w:szCs w:val="20"/>
        </w:rPr>
        <w:t xml:space="preserve"> </w:t>
      </w:r>
      <w:r w:rsidR="00FE45D7" w:rsidRPr="001352D0">
        <w:rPr>
          <w:rFonts w:ascii="Segoe UI" w:hAnsi="Segoe UI" w:cs="Segoe UI"/>
          <w:sz w:val="20"/>
          <w:szCs w:val="20"/>
        </w:rPr>
        <w:t>Strategy W</w:t>
      </w:r>
      <w:r w:rsidR="004C76A0" w:rsidRPr="001352D0">
        <w:rPr>
          <w:rFonts w:ascii="Segoe UI" w:hAnsi="Segoe UI" w:cs="Segoe UI"/>
          <w:sz w:val="20"/>
          <w:szCs w:val="20"/>
        </w:rPr>
        <w:t>o</w:t>
      </w:r>
      <w:r w:rsidR="00FE45D7" w:rsidRPr="001352D0">
        <w:rPr>
          <w:rFonts w:ascii="Segoe UI" w:hAnsi="Segoe UI" w:cs="Segoe UI"/>
          <w:sz w:val="20"/>
          <w:szCs w:val="20"/>
        </w:rPr>
        <w:t>rkfl</w:t>
      </w:r>
      <w:r w:rsidR="004C76A0" w:rsidRPr="001352D0">
        <w:rPr>
          <w:rFonts w:ascii="Segoe UI" w:hAnsi="Segoe UI" w:cs="Segoe UI"/>
          <w:sz w:val="20"/>
          <w:szCs w:val="20"/>
        </w:rPr>
        <w:t>o</w:t>
      </w:r>
      <w:r w:rsidR="00FE45D7" w:rsidRPr="001352D0">
        <w:rPr>
          <w:rFonts w:ascii="Segoe UI" w:hAnsi="Segoe UI" w:cs="Segoe UI"/>
          <w:sz w:val="20"/>
          <w:szCs w:val="20"/>
        </w:rPr>
        <w:t>ws</w:t>
      </w:r>
      <w:r w:rsidR="00EA32D6" w:rsidRPr="001352D0">
        <w:rPr>
          <w:rFonts w:ascii="Segoe UI" w:hAnsi="Segoe UI" w:cs="Segoe UI"/>
          <w:sz w:val="20"/>
          <w:szCs w:val="20"/>
        </w:rPr>
        <w:t xml:space="preserve">. </w:t>
      </w:r>
      <w:r w:rsidR="00F0547E" w:rsidRPr="001352D0">
        <w:rPr>
          <w:rFonts w:ascii="Segoe UI" w:hAnsi="Segoe UI" w:cs="Segoe UI"/>
          <w:sz w:val="20"/>
          <w:szCs w:val="20"/>
        </w:rPr>
        <w:t xml:space="preserve">Engage with Trading and </w:t>
      </w:r>
      <w:r w:rsidR="00F41C45" w:rsidRPr="001352D0">
        <w:rPr>
          <w:rFonts w:ascii="Segoe UI" w:hAnsi="Segoe UI" w:cs="Segoe UI"/>
          <w:sz w:val="20"/>
          <w:szCs w:val="20"/>
        </w:rPr>
        <w:t>Commercial</w:t>
      </w:r>
      <w:r w:rsidR="00F0547E" w:rsidRPr="001352D0">
        <w:rPr>
          <w:rFonts w:ascii="Segoe UI" w:hAnsi="Segoe UI" w:cs="Segoe UI"/>
          <w:sz w:val="20"/>
          <w:szCs w:val="20"/>
        </w:rPr>
        <w:t xml:space="preserve"> </w:t>
      </w:r>
      <w:r w:rsidR="00B201E1" w:rsidRPr="001352D0">
        <w:rPr>
          <w:rFonts w:ascii="Segoe UI" w:hAnsi="Segoe UI" w:cs="Segoe UI"/>
          <w:sz w:val="20"/>
          <w:szCs w:val="20"/>
        </w:rPr>
        <w:t>quantit</w:t>
      </w:r>
      <w:r w:rsidR="005E374C" w:rsidRPr="001352D0">
        <w:rPr>
          <w:rFonts w:ascii="Segoe UI" w:hAnsi="Segoe UI" w:cs="Segoe UI"/>
          <w:sz w:val="20"/>
          <w:szCs w:val="20"/>
        </w:rPr>
        <w:t xml:space="preserve">ative analysts </w:t>
      </w:r>
      <w:r w:rsidR="00B26CCD" w:rsidRPr="001352D0">
        <w:rPr>
          <w:rFonts w:ascii="Segoe UI" w:hAnsi="Segoe UI" w:cs="Segoe UI"/>
          <w:sz w:val="20"/>
          <w:szCs w:val="20"/>
        </w:rPr>
        <w:t xml:space="preserve">to provide </w:t>
      </w:r>
      <w:r w:rsidR="007065E0" w:rsidRPr="001352D0">
        <w:rPr>
          <w:rFonts w:ascii="Segoe UI" w:hAnsi="Segoe UI" w:cs="Segoe UI"/>
          <w:sz w:val="20"/>
          <w:szCs w:val="20"/>
        </w:rPr>
        <w:t>appropriate independent r</w:t>
      </w:r>
      <w:r w:rsidR="00A50F31" w:rsidRPr="001352D0">
        <w:rPr>
          <w:rFonts w:ascii="Segoe UI" w:hAnsi="Segoe UI" w:cs="Segoe UI"/>
          <w:sz w:val="20"/>
          <w:szCs w:val="20"/>
        </w:rPr>
        <w:t xml:space="preserve">eview of strategies </w:t>
      </w:r>
      <w:r w:rsidR="00353E13" w:rsidRPr="001352D0">
        <w:rPr>
          <w:rFonts w:ascii="Segoe UI" w:hAnsi="Segoe UI" w:cs="Segoe UI"/>
          <w:sz w:val="20"/>
          <w:szCs w:val="20"/>
        </w:rPr>
        <w:t xml:space="preserve">and </w:t>
      </w:r>
      <w:r w:rsidR="00E30CEF" w:rsidRPr="001352D0">
        <w:rPr>
          <w:rFonts w:ascii="Segoe UI" w:hAnsi="Segoe UI" w:cs="Segoe UI"/>
          <w:sz w:val="20"/>
          <w:szCs w:val="20"/>
        </w:rPr>
        <w:t xml:space="preserve">use </w:t>
      </w:r>
      <w:r w:rsidR="00CB02E4" w:rsidRPr="001352D0">
        <w:rPr>
          <w:rFonts w:ascii="Segoe UI" w:hAnsi="Segoe UI" w:cs="Segoe UI"/>
          <w:sz w:val="20"/>
          <w:szCs w:val="20"/>
        </w:rPr>
        <w:t xml:space="preserve">quantitative skillset to </w:t>
      </w:r>
      <w:r w:rsidR="00353E13" w:rsidRPr="001352D0">
        <w:rPr>
          <w:rFonts w:ascii="Segoe UI" w:hAnsi="Segoe UI" w:cs="Segoe UI"/>
          <w:sz w:val="20"/>
          <w:szCs w:val="20"/>
        </w:rPr>
        <w:t xml:space="preserve">act as a link </w:t>
      </w:r>
      <w:r w:rsidR="002F5F2F" w:rsidRPr="001352D0">
        <w:rPr>
          <w:rFonts w:ascii="Segoe UI" w:hAnsi="Segoe UI" w:cs="Segoe UI"/>
          <w:sz w:val="20"/>
          <w:szCs w:val="20"/>
        </w:rPr>
        <w:t xml:space="preserve">between </w:t>
      </w:r>
      <w:r w:rsidR="005D30AE" w:rsidRPr="001352D0">
        <w:rPr>
          <w:rFonts w:ascii="Segoe UI" w:hAnsi="Segoe UI" w:cs="Segoe UI"/>
          <w:sz w:val="20"/>
          <w:szCs w:val="20"/>
        </w:rPr>
        <w:t xml:space="preserve">Risk and Middle Office </w:t>
      </w:r>
      <w:r w:rsidR="00BB0B26" w:rsidRPr="001352D0">
        <w:rPr>
          <w:rFonts w:ascii="Segoe UI" w:hAnsi="Segoe UI" w:cs="Segoe UI"/>
          <w:sz w:val="20"/>
          <w:szCs w:val="20"/>
        </w:rPr>
        <w:t>function</w:t>
      </w:r>
      <w:r w:rsidR="00781575" w:rsidRPr="001352D0">
        <w:rPr>
          <w:rFonts w:ascii="Segoe UI" w:hAnsi="Segoe UI" w:cs="Segoe UI"/>
          <w:sz w:val="20"/>
          <w:szCs w:val="20"/>
        </w:rPr>
        <w:t xml:space="preserve"> and </w:t>
      </w:r>
      <w:r w:rsidR="001577DE" w:rsidRPr="001352D0">
        <w:rPr>
          <w:rFonts w:ascii="Segoe UI" w:hAnsi="Segoe UI" w:cs="Segoe UI"/>
          <w:sz w:val="20"/>
          <w:szCs w:val="20"/>
        </w:rPr>
        <w:t>key stakeholders and developers.</w:t>
      </w:r>
    </w:p>
    <w:p w14:paraId="64CD6181" w14:textId="77777777" w:rsidR="002A6DFD" w:rsidRPr="001352D0" w:rsidRDefault="002A6DFD" w:rsidP="00CB0B33">
      <w:pPr>
        <w:spacing w:after="0"/>
        <w:rPr>
          <w:rFonts w:ascii="Segoe UI" w:hAnsi="Segoe UI" w:cs="Segoe UI"/>
          <w:sz w:val="20"/>
          <w:szCs w:val="20"/>
          <w:lang w:val="en-GB"/>
        </w:rPr>
      </w:pPr>
    </w:p>
    <w:p w14:paraId="043A51C5" w14:textId="77777777" w:rsidR="002A6DFD" w:rsidRPr="001352D0" w:rsidRDefault="002A6DFD" w:rsidP="002A6DFD">
      <w:pPr>
        <w:rPr>
          <w:rFonts w:ascii="Segoe UI" w:hAnsi="Segoe UI" w:cs="Segoe UI"/>
          <w:sz w:val="20"/>
          <w:szCs w:val="20"/>
        </w:rPr>
      </w:pPr>
      <w:r w:rsidRPr="001352D0">
        <w:rPr>
          <w:rFonts w:ascii="Segoe UI" w:hAnsi="Segoe UI" w:cs="Segoe UI"/>
          <w:b/>
          <w:bCs/>
          <w:sz w:val="20"/>
          <w:szCs w:val="20"/>
        </w:rPr>
        <w:t>Stakeholder Communication</w:t>
      </w:r>
      <w:r w:rsidRPr="001352D0">
        <w:rPr>
          <w:rFonts w:ascii="Segoe UI" w:hAnsi="Segoe UI" w:cs="Segoe UI"/>
          <w:sz w:val="20"/>
          <w:szCs w:val="20"/>
        </w:rPr>
        <w:br/>
        <w:t xml:space="preserve">Clearly communicate complex model results and the key drivers of market risk to stakeholders including senior management, front office traders, and risk committees. </w:t>
      </w:r>
    </w:p>
    <w:p w14:paraId="5E39CC59" w14:textId="77777777" w:rsidR="002A6DFD" w:rsidRPr="001352D0" w:rsidRDefault="002A6DFD" w:rsidP="00D91F3B">
      <w:pPr>
        <w:rPr>
          <w:rFonts w:ascii="Segoe UI" w:hAnsi="Segoe UI" w:cs="Segoe UI"/>
          <w:b/>
          <w:bCs/>
          <w:sz w:val="20"/>
          <w:szCs w:val="20"/>
          <w:u w:val="single"/>
        </w:rPr>
      </w:pPr>
    </w:p>
    <w:p w14:paraId="3622713F" w14:textId="77777777" w:rsidR="00D91F3B" w:rsidRPr="001352D0" w:rsidRDefault="00D91F3B" w:rsidP="00D91F3B">
      <w:pPr>
        <w:rPr>
          <w:rFonts w:ascii="Segoe UI" w:hAnsi="Segoe UI" w:cs="Segoe UI"/>
          <w:b/>
          <w:bCs/>
          <w:sz w:val="20"/>
          <w:szCs w:val="20"/>
          <w:u w:val="single"/>
        </w:rPr>
      </w:pPr>
      <w:r w:rsidRPr="001352D0">
        <w:rPr>
          <w:rFonts w:ascii="Segoe UI" w:hAnsi="Segoe UI" w:cs="Segoe UI"/>
          <w:b/>
          <w:bCs/>
          <w:sz w:val="20"/>
          <w:szCs w:val="20"/>
          <w:u w:val="single"/>
        </w:rPr>
        <w:t>KNOWLEDGE, SKILLS AND EXPERIENCE</w:t>
      </w:r>
    </w:p>
    <w:p w14:paraId="71E0419A" w14:textId="77777777" w:rsidR="002C29FF" w:rsidRPr="001352D0" w:rsidRDefault="002C29FF" w:rsidP="002C29FF">
      <w:pPr>
        <w:rPr>
          <w:rFonts w:ascii="Segoe UI" w:hAnsi="Segoe UI" w:cs="Segoe UI"/>
          <w:b/>
          <w:bCs/>
          <w:sz w:val="20"/>
          <w:szCs w:val="20"/>
        </w:rPr>
      </w:pPr>
      <w:r w:rsidRPr="001352D0">
        <w:rPr>
          <w:rFonts w:ascii="Segoe UI" w:hAnsi="Segoe UI" w:cs="Segoe UI"/>
          <w:b/>
          <w:bCs/>
          <w:sz w:val="20"/>
          <w:szCs w:val="20"/>
        </w:rPr>
        <w:t>Technical Expertise</w:t>
      </w:r>
    </w:p>
    <w:p w14:paraId="35AA91E4" w14:textId="60548425" w:rsidR="0066784B" w:rsidRPr="001352D0" w:rsidRDefault="00FD1714" w:rsidP="00FD1714">
      <w:pPr>
        <w:pStyle w:val="ListParagraph"/>
        <w:numPr>
          <w:ilvl w:val="0"/>
          <w:numId w:val="2"/>
        </w:numPr>
        <w:rPr>
          <w:rFonts w:ascii="Segoe UI" w:hAnsi="Segoe UI" w:cs="Segoe UI"/>
          <w:sz w:val="20"/>
          <w:szCs w:val="20"/>
        </w:rPr>
      </w:pPr>
      <w:r w:rsidRPr="001352D0">
        <w:rPr>
          <w:rFonts w:ascii="Segoe UI" w:hAnsi="Segoe UI" w:cs="Segoe UI"/>
          <w:sz w:val="20"/>
          <w:szCs w:val="20"/>
        </w:rPr>
        <w:t>High p</w:t>
      </w:r>
      <w:r w:rsidR="00EF72B0" w:rsidRPr="001352D0">
        <w:rPr>
          <w:rFonts w:ascii="Segoe UI" w:hAnsi="Segoe UI" w:cs="Segoe UI"/>
          <w:sz w:val="20"/>
          <w:szCs w:val="20"/>
        </w:rPr>
        <w:t>roficiency with Python and SQL for numerical modeling and data analysis is essential.</w:t>
      </w:r>
    </w:p>
    <w:p w14:paraId="6BAB9784" w14:textId="7C670DBE" w:rsidR="0066784B" w:rsidRPr="001352D0" w:rsidRDefault="00FD1714" w:rsidP="0066784B">
      <w:pPr>
        <w:pStyle w:val="ListParagraph"/>
        <w:numPr>
          <w:ilvl w:val="0"/>
          <w:numId w:val="2"/>
        </w:numPr>
        <w:rPr>
          <w:rFonts w:ascii="Segoe UI" w:hAnsi="Segoe UI" w:cs="Segoe UI"/>
          <w:sz w:val="20"/>
          <w:szCs w:val="20"/>
        </w:rPr>
      </w:pPr>
      <w:r w:rsidRPr="001352D0">
        <w:rPr>
          <w:rFonts w:ascii="Segoe UI" w:hAnsi="Segoe UI" w:cs="Segoe UI"/>
          <w:sz w:val="20"/>
          <w:szCs w:val="20"/>
        </w:rPr>
        <w:t>Familiarity</w:t>
      </w:r>
      <w:r w:rsidR="0066784B" w:rsidRPr="001352D0">
        <w:rPr>
          <w:rFonts w:ascii="Segoe UI" w:hAnsi="Segoe UI" w:cs="Segoe UI"/>
          <w:sz w:val="20"/>
          <w:szCs w:val="20"/>
        </w:rPr>
        <w:t xml:space="preserve"> with cloud-based data platforms (e.g., Databricks, Azure Data Factory).</w:t>
      </w:r>
    </w:p>
    <w:p w14:paraId="75E7F978" w14:textId="5F5A6C60" w:rsidR="00852D2A" w:rsidRPr="001352D0" w:rsidRDefault="00852D2A" w:rsidP="002C29FF">
      <w:pPr>
        <w:pStyle w:val="ListParagraph"/>
        <w:numPr>
          <w:ilvl w:val="0"/>
          <w:numId w:val="2"/>
        </w:numPr>
        <w:rPr>
          <w:rFonts w:ascii="Segoe UI" w:hAnsi="Segoe UI" w:cs="Segoe UI"/>
          <w:sz w:val="20"/>
          <w:szCs w:val="20"/>
        </w:rPr>
      </w:pPr>
      <w:r w:rsidRPr="001352D0">
        <w:rPr>
          <w:rFonts w:ascii="Segoe UI" w:hAnsi="Segoe UI" w:cs="Segoe UI"/>
          <w:sz w:val="20"/>
          <w:szCs w:val="20"/>
          <w:lang w:val="en-GB"/>
        </w:rPr>
        <w:t>Expertise in some of the following, statistical analysis, time-series analysis, signal processing, portfolio theory, optimisation, machine learning/AI</w:t>
      </w:r>
    </w:p>
    <w:p w14:paraId="056C140C" w14:textId="77777777" w:rsidR="00FD1714" w:rsidRPr="001352D0" w:rsidRDefault="00FD1714" w:rsidP="00FD1714">
      <w:pPr>
        <w:pStyle w:val="ListParagraph"/>
        <w:numPr>
          <w:ilvl w:val="0"/>
          <w:numId w:val="2"/>
        </w:numPr>
        <w:rPr>
          <w:rFonts w:ascii="Segoe UI" w:hAnsi="Segoe UI" w:cs="Segoe UI"/>
          <w:sz w:val="20"/>
          <w:szCs w:val="20"/>
        </w:rPr>
      </w:pPr>
      <w:r w:rsidRPr="001352D0">
        <w:rPr>
          <w:rFonts w:ascii="Segoe UI" w:hAnsi="Segoe UI" w:cs="Segoe UI"/>
          <w:sz w:val="20"/>
          <w:szCs w:val="20"/>
        </w:rPr>
        <w:t>Proven, hands-on experience in developing and validating Market Risk models within the commodities or financial sectors.</w:t>
      </w:r>
    </w:p>
    <w:p w14:paraId="625F607E" w14:textId="5CB0F88C" w:rsidR="00D91F3B" w:rsidRPr="001352D0" w:rsidRDefault="00D91F3B" w:rsidP="00D91F3B">
      <w:pPr>
        <w:rPr>
          <w:rFonts w:ascii="Segoe UI" w:hAnsi="Segoe UI" w:cs="Segoe UI"/>
          <w:b/>
          <w:bCs/>
          <w:sz w:val="20"/>
          <w:szCs w:val="20"/>
        </w:rPr>
      </w:pPr>
      <w:r w:rsidRPr="001352D0">
        <w:rPr>
          <w:rFonts w:ascii="Segoe UI" w:hAnsi="Segoe UI" w:cs="Segoe UI"/>
          <w:b/>
          <w:bCs/>
          <w:sz w:val="20"/>
          <w:szCs w:val="20"/>
        </w:rPr>
        <w:t>Business Knowledge</w:t>
      </w:r>
    </w:p>
    <w:p w14:paraId="7AD69C48" w14:textId="16366F18" w:rsidR="00C47F3F" w:rsidRPr="001352D0" w:rsidRDefault="00C47F3F" w:rsidP="00C55175">
      <w:pPr>
        <w:pStyle w:val="ListParagraph"/>
        <w:numPr>
          <w:ilvl w:val="0"/>
          <w:numId w:val="4"/>
        </w:numPr>
        <w:rPr>
          <w:rFonts w:ascii="Segoe UI" w:hAnsi="Segoe UI" w:cs="Segoe UI"/>
          <w:sz w:val="20"/>
          <w:szCs w:val="20"/>
        </w:rPr>
      </w:pPr>
      <w:r w:rsidRPr="001352D0">
        <w:rPr>
          <w:rFonts w:ascii="Segoe UI" w:hAnsi="Segoe UI" w:cs="Segoe UI"/>
          <w:sz w:val="20"/>
          <w:szCs w:val="20"/>
        </w:rPr>
        <w:t>Understanding of GB electricity market dynamics and the underlying commodity drivers.</w:t>
      </w:r>
    </w:p>
    <w:p w14:paraId="318716F1" w14:textId="77777777" w:rsidR="00F02FB6" w:rsidRPr="001352D0" w:rsidRDefault="00C47F3F" w:rsidP="00C55175">
      <w:pPr>
        <w:pStyle w:val="ListParagraph"/>
        <w:numPr>
          <w:ilvl w:val="0"/>
          <w:numId w:val="4"/>
        </w:numPr>
        <w:rPr>
          <w:rFonts w:ascii="Segoe UI" w:hAnsi="Segoe UI" w:cs="Segoe UI"/>
          <w:sz w:val="20"/>
          <w:szCs w:val="20"/>
          <w:lang w:val="en-GB"/>
        </w:rPr>
      </w:pPr>
      <w:r w:rsidRPr="001352D0">
        <w:rPr>
          <w:rFonts w:ascii="Segoe UI" w:hAnsi="Segoe UI" w:cs="Segoe UI"/>
          <w:sz w:val="20"/>
          <w:szCs w:val="20"/>
        </w:rPr>
        <w:t>In-depth knowledge of value drivers for a complex energy trading business and understanding of GB and European wholesale energy markets and market risk fundamentals.</w:t>
      </w:r>
    </w:p>
    <w:p w14:paraId="4B83E0AE" w14:textId="77F8B709" w:rsidR="00F02FB6" w:rsidRPr="001352D0" w:rsidRDefault="00F02FB6" w:rsidP="00F02FB6">
      <w:pPr>
        <w:pStyle w:val="ListParagraph"/>
        <w:numPr>
          <w:ilvl w:val="0"/>
          <w:numId w:val="4"/>
        </w:numPr>
        <w:rPr>
          <w:rFonts w:ascii="Segoe UI" w:hAnsi="Segoe UI" w:cs="Segoe UI"/>
          <w:sz w:val="20"/>
          <w:szCs w:val="20"/>
          <w:lang w:val="en-GB"/>
        </w:rPr>
      </w:pPr>
      <w:r w:rsidRPr="001352D0">
        <w:rPr>
          <w:rFonts w:ascii="Segoe UI" w:hAnsi="Segoe UI" w:cs="Segoe UI"/>
          <w:sz w:val="20"/>
          <w:szCs w:val="20"/>
          <w:lang w:val="en-GB"/>
        </w:rPr>
        <w:t>Exposure and some understanding of Systematic Trading and Strategies</w:t>
      </w:r>
      <w:r w:rsidR="07C853F0" w:rsidRPr="001352D0">
        <w:rPr>
          <w:rFonts w:ascii="Segoe UI" w:hAnsi="Segoe UI" w:cs="Segoe UI"/>
          <w:sz w:val="20"/>
          <w:szCs w:val="20"/>
          <w:lang w:val="en-GB"/>
        </w:rPr>
        <w:t>.</w:t>
      </w:r>
    </w:p>
    <w:p w14:paraId="46C1E9F5" w14:textId="33C9B8E5" w:rsidR="00D91F3B" w:rsidRPr="001352D0" w:rsidRDefault="00D91F3B" w:rsidP="00C55175">
      <w:pPr>
        <w:pStyle w:val="ListParagraph"/>
        <w:numPr>
          <w:ilvl w:val="0"/>
          <w:numId w:val="4"/>
        </w:numPr>
        <w:rPr>
          <w:rFonts w:ascii="Segoe UI" w:hAnsi="Segoe UI" w:cs="Segoe UI"/>
          <w:sz w:val="20"/>
          <w:szCs w:val="20"/>
        </w:rPr>
      </w:pPr>
      <w:r w:rsidRPr="001352D0">
        <w:rPr>
          <w:rFonts w:ascii="Segoe UI" w:hAnsi="Segoe UI" w:cs="Segoe UI"/>
          <w:sz w:val="20"/>
          <w:szCs w:val="20"/>
        </w:rPr>
        <w:t>In-depth understanding of the EM business model and how it fits into the Group structure</w:t>
      </w:r>
      <w:r w:rsidR="75BB3167" w:rsidRPr="001352D0">
        <w:rPr>
          <w:rFonts w:ascii="Segoe UI" w:hAnsi="Segoe UI" w:cs="Segoe UI"/>
          <w:sz w:val="20"/>
          <w:szCs w:val="20"/>
        </w:rPr>
        <w:t>.</w:t>
      </w:r>
    </w:p>
    <w:p w14:paraId="2F24C32E" w14:textId="5BEDEE85" w:rsidR="00D91F3B" w:rsidRPr="001352D0" w:rsidRDefault="00C47F3F" w:rsidP="00D91F3B">
      <w:pPr>
        <w:pStyle w:val="ListParagraph"/>
        <w:numPr>
          <w:ilvl w:val="0"/>
          <w:numId w:val="4"/>
        </w:numPr>
        <w:rPr>
          <w:rFonts w:ascii="Segoe UI" w:hAnsi="Segoe UI" w:cs="Segoe UI"/>
          <w:sz w:val="20"/>
          <w:szCs w:val="20"/>
        </w:rPr>
      </w:pPr>
      <w:r w:rsidRPr="001352D0">
        <w:rPr>
          <w:rFonts w:ascii="Segoe UI" w:hAnsi="Segoe UI" w:cs="Segoe UI"/>
          <w:sz w:val="20"/>
          <w:szCs w:val="20"/>
        </w:rPr>
        <w:t>K</w:t>
      </w:r>
      <w:r w:rsidR="00D91F3B" w:rsidRPr="001352D0">
        <w:rPr>
          <w:rFonts w:ascii="Segoe UI" w:hAnsi="Segoe UI" w:cs="Segoe UI"/>
          <w:sz w:val="20"/>
          <w:szCs w:val="20"/>
        </w:rPr>
        <w:t>nowledge of SSE’s asset base</w:t>
      </w:r>
      <w:r w:rsidR="00446198" w:rsidRPr="001352D0">
        <w:rPr>
          <w:rFonts w:ascii="Segoe UI" w:hAnsi="Segoe UI" w:cs="Segoe UI"/>
          <w:sz w:val="20"/>
          <w:szCs w:val="20"/>
        </w:rPr>
        <w:t>.</w:t>
      </w:r>
    </w:p>
    <w:p w14:paraId="72692971" w14:textId="77777777" w:rsidR="00D91F3B" w:rsidRPr="001352D0" w:rsidRDefault="00D91F3B" w:rsidP="00D91F3B">
      <w:pPr>
        <w:rPr>
          <w:rFonts w:ascii="Segoe UI" w:hAnsi="Segoe UI" w:cs="Segoe UI"/>
          <w:b/>
          <w:bCs/>
          <w:sz w:val="20"/>
          <w:szCs w:val="20"/>
        </w:rPr>
      </w:pPr>
      <w:r w:rsidRPr="001352D0">
        <w:rPr>
          <w:rFonts w:ascii="Segoe UI" w:hAnsi="Segoe UI" w:cs="Segoe UI"/>
          <w:b/>
          <w:bCs/>
          <w:sz w:val="20"/>
          <w:szCs w:val="20"/>
        </w:rPr>
        <w:t>Desirable Attributes</w:t>
      </w:r>
    </w:p>
    <w:p w14:paraId="748E9BA2" w14:textId="3EAF0DAF" w:rsidR="00D91F3B" w:rsidRPr="001352D0" w:rsidRDefault="00054CA3" w:rsidP="00C55175">
      <w:pPr>
        <w:pStyle w:val="ListParagraph"/>
        <w:numPr>
          <w:ilvl w:val="0"/>
          <w:numId w:val="7"/>
        </w:numPr>
        <w:rPr>
          <w:rFonts w:ascii="Segoe UI" w:hAnsi="Segoe UI" w:cs="Segoe UI"/>
          <w:sz w:val="20"/>
          <w:szCs w:val="20"/>
        </w:rPr>
      </w:pPr>
      <w:r w:rsidRPr="001352D0">
        <w:rPr>
          <w:rFonts w:ascii="Segoe UI" w:hAnsi="Segoe UI" w:cs="Segoe UI"/>
          <w:sz w:val="20"/>
          <w:szCs w:val="20"/>
        </w:rPr>
        <w:t>Prior experience</w:t>
      </w:r>
      <w:r w:rsidR="00D91F3B" w:rsidRPr="001352D0">
        <w:rPr>
          <w:rFonts w:ascii="Segoe UI" w:hAnsi="Segoe UI" w:cs="Segoe UI"/>
          <w:sz w:val="20"/>
          <w:szCs w:val="20"/>
        </w:rPr>
        <w:t xml:space="preserve"> </w:t>
      </w:r>
      <w:r w:rsidRPr="001352D0">
        <w:rPr>
          <w:rFonts w:ascii="Segoe UI" w:hAnsi="Segoe UI" w:cs="Segoe UI"/>
          <w:sz w:val="20"/>
          <w:szCs w:val="20"/>
        </w:rPr>
        <w:t xml:space="preserve">with </w:t>
      </w:r>
      <w:r w:rsidR="00D91F3B" w:rsidRPr="001352D0">
        <w:rPr>
          <w:rFonts w:ascii="Segoe UI" w:hAnsi="Segoe UI" w:cs="Segoe UI"/>
          <w:sz w:val="20"/>
          <w:szCs w:val="20"/>
        </w:rPr>
        <w:t>Lacima would be beneficial (EM Risk Management system)</w:t>
      </w:r>
    </w:p>
    <w:p w14:paraId="4E3AF718" w14:textId="1B13D71A" w:rsidR="00D91F3B" w:rsidRPr="001352D0" w:rsidRDefault="00D91F3B" w:rsidP="00D91F3B">
      <w:pPr>
        <w:pStyle w:val="ListParagraph"/>
        <w:numPr>
          <w:ilvl w:val="0"/>
          <w:numId w:val="7"/>
        </w:numPr>
        <w:rPr>
          <w:rFonts w:ascii="Segoe UI" w:hAnsi="Segoe UI" w:cs="Segoe UI"/>
          <w:sz w:val="20"/>
          <w:szCs w:val="20"/>
        </w:rPr>
      </w:pPr>
      <w:r w:rsidRPr="001352D0">
        <w:rPr>
          <w:rFonts w:ascii="Segoe UI" w:hAnsi="Segoe UI" w:cs="Segoe UI"/>
          <w:sz w:val="20"/>
          <w:szCs w:val="20"/>
        </w:rPr>
        <w:t xml:space="preserve">Experience in modelling asset-specific risks such as spark spread options, option-value of </w:t>
      </w:r>
      <w:r w:rsidR="00790789" w:rsidRPr="001352D0">
        <w:rPr>
          <w:rFonts w:ascii="Segoe UI" w:hAnsi="Segoe UI" w:cs="Segoe UI"/>
          <w:sz w:val="20"/>
          <w:szCs w:val="20"/>
        </w:rPr>
        <w:t>dispatch</w:t>
      </w:r>
      <w:r w:rsidRPr="001352D0">
        <w:rPr>
          <w:rFonts w:ascii="Segoe UI" w:hAnsi="Segoe UI" w:cs="Segoe UI"/>
          <w:sz w:val="20"/>
          <w:szCs w:val="20"/>
        </w:rPr>
        <w:t>, and embedded optionality within thermal portfolios.</w:t>
      </w:r>
    </w:p>
    <w:p w14:paraId="20DB8550" w14:textId="77777777" w:rsidR="00C55175" w:rsidRPr="001352D0" w:rsidRDefault="00C55175" w:rsidP="00C55175">
      <w:pPr>
        <w:rPr>
          <w:rFonts w:ascii="Segoe UI" w:hAnsi="Segoe UI" w:cs="Segoe UI"/>
          <w:b/>
          <w:bCs/>
          <w:sz w:val="20"/>
          <w:szCs w:val="20"/>
          <w:lang w:val="en-GB"/>
        </w:rPr>
      </w:pPr>
      <w:r w:rsidRPr="001352D0">
        <w:rPr>
          <w:rFonts w:ascii="Segoe UI" w:hAnsi="Segoe UI" w:cs="Segoe UI"/>
          <w:b/>
          <w:bCs/>
          <w:sz w:val="20"/>
          <w:szCs w:val="20"/>
          <w:lang w:val="en-GB"/>
        </w:rPr>
        <w:t>Key Competencies &amp; Capabilities</w:t>
      </w:r>
    </w:p>
    <w:p w14:paraId="2095FFBE" w14:textId="77777777" w:rsidR="00C55175" w:rsidRPr="001352D0" w:rsidRDefault="00C55175" w:rsidP="00C55175">
      <w:pPr>
        <w:pStyle w:val="ListParagraph"/>
        <w:numPr>
          <w:ilvl w:val="0"/>
          <w:numId w:val="3"/>
        </w:numPr>
        <w:rPr>
          <w:rFonts w:ascii="Segoe UI" w:hAnsi="Segoe UI" w:cs="Segoe UI"/>
          <w:sz w:val="20"/>
          <w:szCs w:val="20"/>
          <w:lang w:val="en-GB"/>
        </w:rPr>
      </w:pPr>
      <w:r w:rsidRPr="001352D0">
        <w:rPr>
          <w:rFonts w:ascii="Segoe UI" w:hAnsi="Segoe UI" w:cs="Segoe UI"/>
          <w:sz w:val="20"/>
          <w:szCs w:val="20"/>
          <w:lang w:val="en-GB"/>
        </w:rPr>
        <w:t>Self-driven and intellectually curious, with a strong appetite for learning in a fast-moving market environment.</w:t>
      </w:r>
    </w:p>
    <w:p w14:paraId="76499700" w14:textId="4A9397D3" w:rsidR="004919BD" w:rsidRPr="001352D0" w:rsidRDefault="004919BD" w:rsidP="004919BD">
      <w:pPr>
        <w:pStyle w:val="ListParagraph"/>
        <w:numPr>
          <w:ilvl w:val="0"/>
          <w:numId w:val="4"/>
        </w:numPr>
        <w:rPr>
          <w:rFonts w:ascii="Segoe UI" w:hAnsi="Segoe UI" w:cs="Segoe UI"/>
          <w:sz w:val="20"/>
          <w:szCs w:val="20"/>
        </w:rPr>
      </w:pPr>
      <w:r w:rsidRPr="001352D0">
        <w:rPr>
          <w:rFonts w:ascii="Segoe UI" w:hAnsi="Segoe UI" w:cs="Segoe UI"/>
          <w:sz w:val="20"/>
          <w:szCs w:val="20"/>
        </w:rPr>
        <w:t>Proven ability to lead projects, drive independent research, and manage the full model lifecycle from concept to production.</w:t>
      </w:r>
    </w:p>
    <w:p w14:paraId="3580DFE9" w14:textId="77777777" w:rsidR="00C55175" w:rsidRPr="001352D0" w:rsidRDefault="00C55175" w:rsidP="00C55175">
      <w:pPr>
        <w:pStyle w:val="ListParagraph"/>
        <w:numPr>
          <w:ilvl w:val="0"/>
          <w:numId w:val="3"/>
        </w:numPr>
        <w:rPr>
          <w:rFonts w:ascii="Segoe UI" w:hAnsi="Segoe UI" w:cs="Segoe UI"/>
          <w:sz w:val="20"/>
          <w:szCs w:val="20"/>
          <w:lang w:val="en-GB"/>
        </w:rPr>
      </w:pPr>
      <w:r w:rsidRPr="001352D0">
        <w:rPr>
          <w:rFonts w:ascii="Segoe UI" w:hAnsi="Segoe UI" w:cs="Segoe UI"/>
          <w:sz w:val="20"/>
          <w:szCs w:val="20"/>
          <w:lang w:val="en-GB"/>
        </w:rPr>
        <w:t>Analytical and structured thinker, able to interpret complex market information and translate insights into clear, actionable outputs.</w:t>
      </w:r>
    </w:p>
    <w:p w14:paraId="2C1AB6DA" w14:textId="77777777" w:rsidR="00C55175" w:rsidRPr="001352D0" w:rsidRDefault="00C55175" w:rsidP="00C55175">
      <w:pPr>
        <w:pStyle w:val="ListParagraph"/>
        <w:numPr>
          <w:ilvl w:val="0"/>
          <w:numId w:val="3"/>
        </w:numPr>
        <w:rPr>
          <w:rFonts w:ascii="Segoe UI" w:hAnsi="Segoe UI" w:cs="Segoe UI"/>
          <w:sz w:val="20"/>
          <w:szCs w:val="20"/>
          <w:lang w:val="en-GB"/>
        </w:rPr>
      </w:pPr>
      <w:r w:rsidRPr="001352D0">
        <w:rPr>
          <w:rFonts w:ascii="Segoe UI" w:hAnsi="Segoe UI" w:cs="Segoe UI"/>
          <w:sz w:val="20"/>
          <w:szCs w:val="20"/>
          <w:lang w:val="en-GB"/>
        </w:rPr>
        <w:lastRenderedPageBreak/>
        <w:t>Effective communicator, capable of conveying technical or complex topics to stakeholders at all levels.</w:t>
      </w:r>
    </w:p>
    <w:p w14:paraId="17E58E6F" w14:textId="77777777" w:rsidR="00C55175" w:rsidRPr="001352D0" w:rsidRDefault="00C55175" w:rsidP="00C55175">
      <w:pPr>
        <w:pStyle w:val="ListParagraph"/>
        <w:numPr>
          <w:ilvl w:val="0"/>
          <w:numId w:val="3"/>
        </w:numPr>
        <w:rPr>
          <w:rFonts w:ascii="Segoe UI" w:hAnsi="Segoe UI" w:cs="Segoe UI"/>
          <w:sz w:val="20"/>
          <w:szCs w:val="20"/>
          <w:lang w:val="en-GB"/>
        </w:rPr>
      </w:pPr>
      <w:r w:rsidRPr="001352D0">
        <w:rPr>
          <w:rFonts w:ascii="Segoe UI" w:hAnsi="Segoe UI" w:cs="Segoe UI"/>
          <w:sz w:val="20"/>
          <w:szCs w:val="20"/>
          <w:lang w:val="en-GB"/>
        </w:rPr>
        <w:t>Collaborative and relationship-oriented, able to build strong working relationships across teams and business areas.</w:t>
      </w:r>
    </w:p>
    <w:p w14:paraId="5C95E581" w14:textId="1187B016" w:rsidR="00C55175" w:rsidRPr="001352D0" w:rsidRDefault="00C55175" w:rsidP="00C55175">
      <w:pPr>
        <w:pStyle w:val="ListParagraph"/>
        <w:numPr>
          <w:ilvl w:val="0"/>
          <w:numId w:val="3"/>
        </w:numPr>
        <w:rPr>
          <w:rFonts w:ascii="Segoe UI" w:hAnsi="Segoe UI" w:cs="Segoe UI"/>
          <w:sz w:val="20"/>
          <w:szCs w:val="20"/>
          <w:lang w:val="en-GB"/>
        </w:rPr>
      </w:pPr>
      <w:r w:rsidRPr="001352D0">
        <w:rPr>
          <w:rFonts w:ascii="Segoe UI" w:hAnsi="Segoe UI" w:cs="Segoe UI"/>
          <w:sz w:val="20"/>
          <w:szCs w:val="20"/>
          <w:lang w:val="en-GB"/>
        </w:rPr>
        <w:t>Constructively challenging, open, and transparent</w:t>
      </w:r>
      <w:r w:rsidR="004919BD" w:rsidRPr="001352D0">
        <w:rPr>
          <w:rFonts w:ascii="Segoe UI" w:hAnsi="Segoe UI" w:cs="Segoe UI"/>
          <w:sz w:val="20"/>
          <w:szCs w:val="20"/>
          <w:lang w:val="en-GB"/>
        </w:rPr>
        <w:t>. C</w:t>
      </w:r>
      <w:r w:rsidRPr="001352D0">
        <w:rPr>
          <w:rFonts w:ascii="Segoe UI" w:hAnsi="Segoe UI" w:cs="Segoe UI"/>
          <w:sz w:val="20"/>
          <w:szCs w:val="20"/>
          <w:lang w:val="en-GB"/>
        </w:rPr>
        <w:t>omfortable debating ideas and engaging in problem-solving with senior leaders and peers.</w:t>
      </w:r>
    </w:p>
    <w:p w14:paraId="578B7C03" w14:textId="033D3388" w:rsidR="008B7F6C" w:rsidRPr="001352D0" w:rsidRDefault="00C55175" w:rsidP="00C55175">
      <w:pPr>
        <w:pStyle w:val="ListParagraph"/>
        <w:numPr>
          <w:ilvl w:val="0"/>
          <w:numId w:val="3"/>
        </w:numPr>
        <w:rPr>
          <w:rFonts w:ascii="Segoe UI" w:hAnsi="Segoe UI" w:cs="Segoe UI"/>
          <w:sz w:val="20"/>
          <w:szCs w:val="20"/>
          <w:lang w:val="en-GB"/>
        </w:rPr>
      </w:pPr>
      <w:r w:rsidRPr="001352D0">
        <w:rPr>
          <w:rFonts w:ascii="Segoe UI" w:hAnsi="Segoe UI" w:cs="Segoe UI"/>
          <w:sz w:val="20"/>
          <w:szCs w:val="20"/>
          <w:lang w:val="en-GB"/>
        </w:rPr>
        <w:t>Professional and accountable, demonstrating high standards of conduct and a commitment to supporting and developing the wider team.</w:t>
      </w:r>
    </w:p>
    <w:sectPr w:rsidR="008B7F6C" w:rsidRPr="001352D0">
      <w:headerReference w:type="even" r:id="rId1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982F4" w14:textId="77777777" w:rsidR="005B739F" w:rsidRDefault="005B739F" w:rsidP="00D91F3B">
      <w:pPr>
        <w:spacing w:after="0" w:line="240" w:lineRule="auto"/>
      </w:pPr>
      <w:r>
        <w:separator/>
      </w:r>
    </w:p>
  </w:endnote>
  <w:endnote w:type="continuationSeparator" w:id="0">
    <w:p w14:paraId="427A56D4" w14:textId="77777777" w:rsidR="005B739F" w:rsidRDefault="005B739F" w:rsidP="00D91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3EFC4" w14:textId="77777777" w:rsidR="005B739F" w:rsidRDefault="005B739F" w:rsidP="00D91F3B">
      <w:pPr>
        <w:spacing w:after="0" w:line="240" w:lineRule="auto"/>
      </w:pPr>
      <w:r>
        <w:separator/>
      </w:r>
    </w:p>
  </w:footnote>
  <w:footnote w:type="continuationSeparator" w:id="0">
    <w:p w14:paraId="484F5EA5" w14:textId="77777777" w:rsidR="005B739F" w:rsidRDefault="005B739F" w:rsidP="00D91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762B" w14:textId="213C33AF" w:rsidR="007240F1" w:rsidRDefault="007240F1">
    <w:pPr>
      <w:pStyle w:val="Header"/>
    </w:pPr>
    <w:r>
      <w:rPr>
        <w:noProof/>
      </w:rPr>
      <mc:AlternateContent>
        <mc:Choice Requires="wps">
          <w:drawing>
            <wp:anchor distT="0" distB="0" distL="114300" distR="114300" simplePos="0" relativeHeight="251658241" behindDoc="1" locked="0" layoutInCell="1" allowOverlap="1" wp14:anchorId="1D978702" wp14:editId="336131B9">
              <wp:simplePos x="635" y="635"/>
              <wp:positionH relativeFrom="margin">
                <wp:align>center</wp:align>
              </wp:positionH>
              <wp:positionV relativeFrom="margin">
                <wp:align>center</wp:align>
              </wp:positionV>
              <wp:extent cx="67945" cy="16510"/>
              <wp:effectExtent l="0" t="38100" r="8255" b="21590"/>
              <wp:wrapNone/>
              <wp:docPr id="1181031930" name="Text Box 2" descr="Confidential">
                <a:extLst xmlns:a="http://schemas.openxmlformats.org/drawingml/2006/main">
                  <a:ext uri="{FF2B5EF4-FFF2-40B4-BE49-F238E27FC236}">
                    <a16:creationId xmlns:a16="http://schemas.microsoft.com/office/drawing/2014/main" id="{0CD03957-953C-4ABD-A5B1-12FCCB028BF2}"/>
                  </a:ext>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6510"/>
                      </a:xfrm>
                      <a:prstGeom prst="rect">
                        <a:avLst/>
                      </a:prstGeom>
                      <a:noFill/>
                      <a:ln>
                        <a:noFill/>
                      </a:ln>
                    </wps:spPr>
                    <wps:txbx>
                      <w:txbxContent>
                        <w:p w14:paraId="41EEEB27" w14:textId="05C020AC" w:rsidR="007240F1" w:rsidRPr="00D91F3B" w:rsidRDefault="007240F1" w:rsidP="00D91F3B">
                          <w:pPr>
                            <w:spacing w:after="0"/>
                            <w:rPr>
                              <w:rFonts w:ascii="Aptos" w:eastAsia="Aptos" w:hAnsi="Aptos" w:cs="Aptos"/>
                              <w:noProof/>
                              <w:color w:val="DCDCDC"/>
                              <w:sz w:val="2"/>
                              <w:szCs w:val="2"/>
                              <w14:textFill>
                                <w14:solidFill>
                                  <w14:srgbClr w14:val="DCDCDC">
                                    <w14:alpha w14:val="50000"/>
                                  </w14:srgbClr>
                                </w14:solidFill>
                              </w14:textFill>
                            </w:rPr>
                          </w:pPr>
                          <w:r w:rsidRPr="00D91F3B">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D978702" id="_x0000_t202" coordsize="21600,21600" o:spt="202" path="m,l,21600r21600,l21600,xe">
              <v:stroke joinstyle="miter"/>
              <v:path gradientshapeok="t" o:connecttype="rect"/>
            </v:shapetype>
            <v:shape id="Text Box 2" o:spid="_x0000_s1026" type="#_x0000_t202" alt="Confidential" style="position:absolute;margin-left:0;margin-top:0;width:5.35pt;height:1.3pt;rotation:-45;z-index:-251658239;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" filled="f" stroked="f">
              <v:textbox style="mso-fit-shape-to-text:t" inset="0,0,0,0">
                <w:txbxContent>
                  <w:p w14:paraId="41EEEB27" w14:textId="05C020AC" w:rsidR="007240F1" w:rsidRPr="00D91F3B" w:rsidRDefault="007240F1" w:rsidP="00D91F3B">
                    <w:pPr>
                      <w:spacing w:after="0"/>
                      <w:rPr>
                        <w:rFonts w:ascii="Aptos" w:eastAsia="Aptos" w:hAnsi="Aptos" w:cs="Aptos"/>
                        <w:noProof/>
                        <w:color w:val="DCDCDC"/>
                        <w:sz w:val="2"/>
                        <w:szCs w:val="2"/>
                        <w14:textFill>
                          <w14:solidFill>
                            <w14:srgbClr w14:val="DCDCDC">
                              <w14:alpha w14:val="50000"/>
                            </w14:srgbClr>
                          </w14:solidFill>
                        </w14:textFill>
                      </w:rPr>
                    </w:pPr>
                    <w:r w:rsidRPr="00D91F3B">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BFAA" w14:textId="25B8C26E" w:rsidR="007240F1" w:rsidRDefault="007240F1">
    <w:pPr>
      <w:pStyle w:val="Header"/>
    </w:pPr>
    <w:r>
      <w:rPr>
        <w:noProof/>
      </w:rPr>
      <mc:AlternateContent>
        <mc:Choice Requires="wps">
          <w:drawing>
            <wp:anchor distT="0" distB="0" distL="114300" distR="114300" simplePos="0" relativeHeight="251658242" behindDoc="1" locked="0" layoutInCell="1" allowOverlap="1" wp14:anchorId="3C07C204" wp14:editId="293373FE">
              <wp:simplePos x="914400" y="460858"/>
              <wp:positionH relativeFrom="margin">
                <wp:align>center</wp:align>
              </wp:positionH>
              <wp:positionV relativeFrom="margin">
                <wp:align>center</wp:align>
              </wp:positionV>
              <wp:extent cx="67945" cy="16510"/>
              <wp:effectExtent l="0" t="38100" r="8255" b="21590"/>
              <wp:wrapNone/>
              <wp:docPr id="548395014" name="Text Box 3" descr="Confidential">
                <a:extLst xmlns:a="http://schemas.openxmlformats.org/drawingml/2006/main">
                  <a:ext uri="{FF2B5EF4-FFF2-40B4-BE49-F238E27FC236}">
                    <a16:creationId xmlns:a16="http://schemas.microsoft.com/office/drawing/2014/main" id="{384D4260-BDAF-4A5D-B8D6-877FBA57FAE5}"/>
                  </a:ext>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6510"/>
                      </a:xfrm>
                      <a:prstGeom prst="rect">
                        <a:avLst/>
                      </a:prstGeom>
                      <a:noFill/>
                      <a:ln>
                        <a:noFill/>
                      </a:ln>
                    </wps:spPr>
                    <wps:txbx>
                      <w:txbxContent>
                        <w:p w14:paraId="1FC9CD4C" w14:textId="1BD5A42B" w:rsidR="007240F1" w:rsidRPr="00D91F3B" w:rsidRDefault="007240F1" w:rsidP="00D91F3B">
                          <w:pPr>
                            <w:spacing w:after="0"/>
                            <w:rPr>
                              <w:rFonts w:ascii="Aptos" w:eastAsia="Aptos" w:hAnsi="Aptos" w:cs="Aptos"/>
                              <w:noProof/>
                              <w:color w:val="DCDCDC"/>
                              <w:sz w:val="2"/>
                              <w:szCs w:val="2"/>
                              <w14:textFill>
                                <w14:solidFill>
                                  <w14:srgbClr w14:val="DCDCDC">
                                    <w14:alpha w14:val="50000"/>
                                  </w14:srgbClr>
                                </w14:solidFill>
                              </w14:textFill>
                            </w:rPr>
                          </w:pPr>
                          <w:r w:rsidRPr="00D91F3B">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C07C204" id="_x0000_t202" coordsize="21600,21600" o:spt="202" path="m,l,21600r21600,l21600,xe">
              <v:stroke joinstyle="miter"/>
              <v:path gradientshapeok="t" o:connecttype="rect"/>
            </v:shapetype>
            <v:shape id="Text Box 3" o:spid="_x0000_s1027" type="#_x0000_t202" alt="Confidential" style="position:absolute;margin-left:0;margin-top:0;width:5.35pt;height:1.3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" filled="f" stroked="f">
              <v:textbox style="mso-fit-shape-to-text:t" inset="0,0,0,0">
                <w:txbxContent>
                  <w:p w14:paraId="1FC9CD4C" w14:textId="1BD5A42B" w:rsidR="007240F1" w:rsidRPr="00D91F3B" w:rsidRDefault="007240F1" w:rsidP="00D91F3B">
                    <w:pPr>
                      <w:spacing w:after="0"/>
                      <w:rPr>
                        <w:rFonts w:ascii="Aptos" w:eastAsia="Aptos" w:hAnsi="Aptos" w:cs="Aptos"/>
                        <w:noProof/>
                        <w:color w:val="DCDCDC"/>
                        <w:sz w:val="2"/>
                        <w:szCs w:val="2"/>
                        <w14:textFill>
                          <w14:solidFill>
                            <w14:srgbClr w14:val="DCDCDC">
                              <w14:alpha w14:val="50000"/>
                            </w14:srgbClr>
                          </w14:solidFill>
                        </w14:textFill>
                      </w:rPr>
                    </w:pPr>
                    <w:r w:rsidRPr="00D91F3B">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06FBF" w14:textId="171FB180" w:rsidR="007240F1" w:rsidRDefault="007240F1">
    <w:pPr>
      <w:pStyle w:val="Header"/>
    </w:pPr>
    <w:r>
      <w:rPr>
        <w:noProof/>
      </w:rPr>
      <mc:AlternateContent>
        <mc:Choice Requires="wps">
          <w:drawing>
            <wp:anchor distT="0" distB="0" distL="114300" distR="114300" simplePos="0" relativeHeight="251658240" behindDoc="1" locked="0" layoutInCell="1" allowOverlap="1" wp14:anchorId="35E93439" wp14:editId="235933CF">
              <wp:simplePos x="635" y="635"/>
              <wp:positionH relativeFrom="margin">
                <wp:align>center</wp:align>
              </wp:positionH>
              <wp:positionV relativeFrom="margin">
                <wp:align>center</wp:align>
              </wp:positionV>
              <wp:extent cx="67945" cy="16510"/>
              <wp:effectExtent l="0" t="38100" r="8255" b="21590"/>
              <wp:wrapNone/>
              <wp:docPr id="1835577923" name="Text Box 1" descr="Confidential">
                <a:extLst xmlns:a="http://schemas.openxmlformats.org/drawingml/2006/main">
                  <a:ext uri="{FF2B5EF4-FFF2-40B4-BE49-F238E27FC236}">
                    <a16:creationId xmlns:a16="http://schemas.microsoft.com/office/drawing/2014/main" id="{3AB50D3F-D3BF-44B7-B12E-8170F0998344}"/>
                  </a:ext>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6510"/>
                      </a:xfrm>
                      <a:prstGeom prst="rect">
                        <a:avLst/>
                      </a:prstGeom>
                      <a:noFill/>
                      <a:ln>
                        <a:noFill/>
                      </a:ln>
                    </wps:spPr>
                    <wps:txbx>
                      <w:txbxContent>
                        <w:p w14:paraId="675A64AD" w14:textId="11D522A2" w:rsidR="007240F1" w:rsidRPr="00D91F3B" w:rsidRDefault="007240F1" w:rsidP="00D91F3B">
                          <w:pPr>
                            <w:spacing w:after="0"/>
                            <w:rPr>
                              <w:rFonts w:ascii="Aptos" w:eastAsia="Aptos" w:hAnsi="Aptos" w:cs="Aptos"/>
                              <w:noProof/>
                              <w:color w:val="DCDCDC"/>
                              <w:sz w:val="2"/>
                              <w:szCs w:val="2"/>
                              <w14:textFill>
                                <w14:solidFill>
                                  <w14:srgbClr w14:val="DCDCDC">
                                    <w14:alpha w14:val="50000"/>
                                  </w14:srgbClr>
                                </w14:solidFill>
                              </w14:textFill>
                            </w:rPr>
                          </w:pPr>
                          <w:r w:rsidRPr="00D91F3B">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E93439" id="_x0000_t202" coordsize="21600,21600" o:spt="202" path="m,l,21600r21600,l21600,xe">
              <v:stroke joinstyle="miter"/>
              <v:path gradientshapeok="t" o:connecttype="rect"/>
            </v:shapetype>
            <v:shape id="Text Box 1" o:spid="_x0000_s1028" type="#_x0000_t202" alt="Confidential" style="position:absolute;margin-left:0;margin-top:0;width:5.35pt;height:1.3pt;rotation:-45;z-index:-25165824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" filled="f" stroked="f">
              <v:textbox style="mso-fit-shape-to-text:t" inset="0,0,0,0">
                <w:txbxContent>
                  <w:p w14:paraId="675A64AD" w14:textId="11D522A2" w:rsidR="007240F1" w:rsidRPr="00D91F3B" w:rsidRDefault="007240F1" w:rsidP="00D91F3B">
                    <w:pPr>
                      <w:spacing w:after="0"/>
                      <w:rPr>
                        <w:rFonts w:ascii="Aptos" w:eastAsia="Aptos" w:hAnsi="Aptos" w:cs="Aptos"/>
                        <w:noProof/>
                        <w:color w:val="DCDCDC"/>
                        <w:sz w:val="2"/>
                        <w:szCs w:val="2"/>
                        <w14:textFill>
                          <w14:solidFill>
                            <w14:srgbClr w14:val="DCDCDC">
                              <w14:alpha w14:val="50000"/>
                            </w14:srgbClr>
                          </w14:solidFill>
                        </w14:textFill>
                      </w:rPr>
                    </w:pPr>
                    <w:r w:rsidRPr="00D91F3B">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7D2B"/>
    <w:multiLevelType w:val="multilevel"/>
    <w:tmpl w:val="787A5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30C89"/>
    <w:multiLevelType w:val="hybridMultilevel"/>
    <w:tmpl w:val="82E88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80587"/>
    <w:multiLevelType w:val="multilevel"/>
    <w:tmpl w:val="8E086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253E4"/>
    <w:multiLevelType w:val="hybridMultilevel"/>
    <w:tmpl w:val="48C66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4855DD"/>
    <w:multiLevelType w:val="hybridMultilevel"/>
    <w:tmpl w:val="A91C2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246E55"/>
    <w:multiLevelType w:val="hybridMultilevel"/>
    <w:tmpl w:val="02FAA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977DEA"/>
    <w:multiLevelType w:val="multilevel"/>
    <w:tmpl w:val="B03431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17904258">
    <w:abstractNumId w:val="0"/>
  </w:num>
  <w:num w:numId="2" w16cid:durableId="1898667354">
    <w:abstractNumId w:val="4"/>
  </w:num>
  <w:num w:numId="3" w16cid:durableId="412046849">
    <w:abstractNumId w:val="5"/>
  </w:num>
  <w:num w:numId="4" w16cid:durableId="461847065">
    <w:abstractNumId w:val="1"/>
  </w:num>
  <w:num w:numId="5" w16cid:durableId="465589892">
    <w:abstractNumId w:val="2"/>
  </w:num>
  <w:num w:numId="6" w16cid:durableId="879247923">
    <w:abstractNumId w:val="6"/>
  </w:num>
  <w:num w:numId="7" w16cid:durableId="97453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3B"/>
    <w:rsid w:val="00000069"/>
    <w:rsid w:val="00014513"/>
    <w:rsid w:val="000151BE"/>
    <w:rsid w:val="000270B6"/>
    <w:rsid w:val="000375A5"/>
    <w:rsid w:val="00050F9C"/>
    <w:rsid w:val="00054050"/>
    <w:rsid w:val="00054CA3"/>
    <w:rsid w:val="00095D65"/>
    <w:rsid w:val="00097625"/>
    <w:rsid w:val="000A3CB9"/>
    <w:rsid w:val="000A6892"/>
    <w:rsid w:val="000B6AB2"/>
    <w:rsid w:val="000C4F6A"/>
    <w:rsid w:val="000C63FD"/>
    <w:rsid w:val="000D15FE"/>
    <w:rsid w:val="000E02E9"/>
    <w:rsid w:val="00107D15"/>
    <w:rsid w:val="001352D0"/>
    <w:rsid w:val="0014052E"/>
    <w:rsid w:val="00143904"/>
    <w:rsid w:val="001451AF"/>
    <w:rsid w:val="001577DE"/>
    <w:rsid w:val="00176224"/>
    <w:rsid w:val="001942E3"/>
    <w:rsid w:val="001B03DD"/>
    <w:rsid w:val="001B34C3"/>
    <w:rsid w:val="001B7410"/>
    <w:rsid w:val="001C4026"/>
    <w:rsid w:val="001C57E9"/>
    <w:rsid w:val="001C7091"/>
    <w:rsid w:val="001F0D9D"/>
    <w:rsid w:val="001F317E"/>
    <w:rsid w:val="00215029"/>
    <w:rsid w:val="0021745B"/>
    <w:rsid w:val="0022390C"/>
    <w:rsid w:val="002540AD"/>
    <w:rsid w:val="00261D8C"/>
    <w:rsid w:val="00277A87"/>
    <w:rsid w:val="002A6DFD"/>
    <w:rsid w:val="002A6E0F"/>
    <w:rsid w:val="002A7FBB"/>
    <w:rsid w:val="002C0E33"/>
    <w:rsid w:val="002C29FF"/>
    <w:rsid w:val="002C3032"/>
    <w:rsid w:val="002F5F2F"/>
    <w:rsid w:val="00301039"/>
    <w:rsid w:val="003049ED"/>
    <w:rsid w:val="00327AC7"/>
    <w:rsid w:val="00353E13"/>
    <w:rsid w:val="00355F59"/>
    <w:rsid w:val="00362819"/>
    <w:rsid w:val="0036649E"/>
    <w:rsid w:val="0036758D"/>
    <w:rsid w:val="00372DA4"/>
    <w:rsid w:val="0039271C"/>
    <w:rsid w:val="00395872"/>
    <w:rsid w:val="003B5850"/>
    <w:rsid w:val="00405E51"/>
    <w:rsid w:val="00407732"/>
    <w:rsid w:val="0041028D"/>
    <w:rsid w:val="00424ED6"/>
    <w:rsid w:val="004353D8"/>
    <w:rsid w:val="00446198"/>
    <w:rsid w:val="00451BA3"/>
    <w:rsid w:val="004535A0"/>
    <w:rsid w:val="00460BB2"/>
    <w:rsid w:val="004624BE"/>
    <w:rsid w:val="004919BD"/>
    <w:rsid w:val="00492A52"/>
    <w:rsid w:val="0049431D"/>
    <w:rsid w:val="004B6019"/>
    <w:rsid w:val="004C76A0"/>
    <w:rsid w:val="004C7ABB"/>
    <w:rsid w:val="004D08AF"/>
    <w:rsid w:val="004E041C"/>
    <w:rsid w:val="004F6BB3"/>
    <w:rsid w:val="00503CE7"/>
    <w:rsid w:val="00515CEE"/>
    <w:rsid w:val="005256B7"/>
    <w:rsid w:val="005469F0"/>
    <w:rsid w:val="00566454"/>
    <w:rsid w:val="00570409"/>
    <w:rsid w:val="00583D65"/>
    <w:rsid w:val="005B6588"/>
    <w:rsid w:val="005B739F"/>
    <w:rsid w:val="005C3205"/>
    <w:rsid w:val="005C441F"/>
    <w:rsid w:val="005C7B17"/>
    <w:rsid w:val="005D30AE"/>
    <w:rsid w:val="005E374C"/>
    <w:rsid w:val="00603191"/>
    <w:rsid w:val="0062086A"/>
    <w:rsid w:val="00636B12"/>
    <w:rsid w:val="00642284"/>
    <w:rsid w:val="006446F8"/>
    <w:rsid w:val="0066784B"/>
    <w:rsid w:val="00684D47"/>
    <w:rsid w:val="006B7348"/>
    <w:rsid w:val="006C0E94"/>
    <w:rsid w:val="006D7ADA"/>
    <w:rsid w:val="006E259E"/>
    <w:rsid w:val="007065E0"/>
    <w:rsid w:val="00711119"/>
    <w:rsid w:val="00715497"/>
    <w:rsid w:val="007240F1"/>
    <w:rsid w:val="0074045B"/>
    <w:rsid w:val="007678E6"/>
    <w:rsid w:val="00771882"/>
    <w:rsid w:val="00777F34"/>
    <w:rsid w:val="00781575"/>
    <w:rsid w:val="00785D7B"/>
    <w:rsid w:val="00786FB4"/>
    <w:rsid w:val="00790789"/>
    <w:rsid w:val="007A2E31"/>
    <w:rsid w:val="00802B79"/>
    <w:rsid w:val="00810572"/>
    <w:rsid w:val="00811291"/>
    <w:rsid w:val="00824799"/>
    <w:rsid w:val="008367F7"/>
    <w:rsid w:val="00845422"/>
    <w:rsid w:val="00845E9C"/>
    <w:rsid w:val="00852D2A"/>
    <w:rsid w:val="00854EE7"/>
    <w:rsid w:val="00886063"/>
    <w:rsid w:val="00890548"/>
    <w:rsid w:val="008B7D59"/>
    <w:rsid w:val="008B7F6C"/>
    <w:rsid w:val="008C3296"/>
    <w:rsid w:val="008D1911"/>
    <w:rsid w:val="008E425E"/>
    <w:rsid w:val="008E4B28"/>
    <w:rsid w:val="00901E09"/>
    <w:rsid w:val="009314E4"/>
    <w:rsid w:val="009562AD"/>
    <w:rsid w:val="00957BF8"/>
    <w:rsid w:val="00990D03"/>
    <w:rsid w:val="00994E7D"/>
    <w:rsid w:val="009B7F7E"/>
    <w:rsid w:val="009C0D4C"/>
    <w:rsid w:val="009C56B9"/>
    <w:rsid w:val="009C6890"/>
    <w:rsid w:val="009E3C1C"/>
    <w:rsid w:val="009F68A3"/>
    <w:rsid w:val="00A137E8"/>
    <w:rsid w:val="00A4153A"/>
    <w:rsid w:val="00A50F31"/>
    <w:rsid w:val="00A85637"/>
    <w:rsid w:val="00A958B1"/>
    <w:rsid w:val="00AD0D7F"/>
    <w:rsid w:val="00AE562F"/>
    <w:rsid w:val="00B13A78"/>
    <w:rsid w:val="00B14004"/>
    <w:rsid w:val="00B201E1"/>
    <w:rsid w:val="00B21329"/>
    <w:rsid w:val="00B223B6"/>
    <w:rsid w:val="00B22C1B"/>
    <w:rsid w:val="00B26CCD"/>
    <w:rsid w:val="00B6032E"/>
    <w:rsid w:val="00B63D3B"/>
    <w:rsid w:val="00B66380"/>
    <w:rsid w:val="00B8141C"/>
    <w:rsid w:val="00B8164F"/>
    <w:rsid w:val="00B821A1"/>
    <w:rsid w:val="00BA256D"/>
    <w:rsid w:val="00BA6950"/>
    <w:rsid w:val="00BB0B26"/>
    <w:rsid w:val="00BC0C5B"/>
    <w:rsid w:val="00BF7E38"/>
    <w:rsid w:val="00C126ED"/>
    <w:rsid w:val="00C26404"/>
    <w:rsid w:val="00C2654F"/>
    <w:rsid w:val="00C30082"/>
    <w:rsid w:val="00C30135"/>
    <w:rsid w:val="00C35055"/>
    <w:rsid w:val="00C410B3"/>
    <w:rsid w:val="00C44B1E"/>
    <w:rsid w:val="00C47F3F"/>
    <w:rsid w:val="00C51BD8"/>
    <w:rsid w:val="00C55175"/>
    <w:rsid w:val="00C658F2"/>
    <w:rsid w:val="00C7426E"/>
    <w:rsid w:val="00C836A1"/>
    <w:rsid w:val="00C8520B"/>
    <w:rsid w:val="00C85A63"/>
    <w:rsid w:val="00C86895"/>
    <w:rsid w:val="00CA2128"/>
    <w:rsid w:val="00CA21AA"/>
    <w:rsid w:val="00CB02E4"/>
    <w:rsid w:val="00CB0B33"/>
    <w:rsid w:val="00CC4B61"/>
    <w:rsid w:val="00CF3FAB"/>
    <w:rsid w:val="00D038EA"/>
    <w:rsid w:val="00D31199"/>
    <w:rsid w:val="00D325D0"/>
    <w:rsid w:val="00D4161C"/>
    <w:rsid w:val="00D614C7"/>
    <w:rsid w:val="00D7032B"/>
    <w:rsid w:val="00D80039"/>
    <w:rsid w:val="00D837E6"/>
    <w:rsid w:val="00D91F3B"/>
    <w:rsid w:val="00DB428B"/>
    <w:rsid w:val="00DC1899"/>
    <w:rsid w:val="00DE7E09"/>
    <w:rsid w:val="00DE7F5E"/>
    <w:rsid w:val="00DF1DC5"/>
    <w:rsid w:val="00DF3ABC"/>
    <w:rsid w:val="00E005D1"/>
    <w:rsid w:val="00E00E7C"/>
    <w:rsid w:val="00E06A3C"/>
    <w:rsid w:val="00E118C0"/>
    <w:rsid w:val="00E30CEF"/>
    <w:rsid w:val="00E53E92"/>
    <w:rsid w:val="00E5414B"/>
    <w:rsid w:val="00E559FA"/>
    <w:rsid w:val="00E84B0E"/>
    <w:rsid w:val="00E851B0"/>
    <w:rsid w:val="00EA1927"/>
    <w:rsid w:val="00EA2137"/>
    <w:rsid w:val="00EA32D6"/>
    <w:rsid w:val="00EF72B0"/>
    <w:rsid w:val="00F02FB6"/>
    <w:rsid w:val="00F0547E"/>
    <w:rsid w:val="00F41C45"/>
    <w:rsid w:val="00F42F2D"/>
    <w:rsid w:val="00F46E94"/>
    <w:rsid w:val="00F510A5"/>
    <w:rsid w:val="00F517BA"/>
    <w:rsid w:val="00F66088"/>
    <w:rsid w:val="00F93962"/>
    <w:rsid w:val="00FC242C"/>
    <w:rsid w:val="00FD1714"/>
    <w:rsid w:val="00FD1A3B"/>
    <w:rsid w:val="00FE45D7"/>
    <w:rsid w:val="00FE638F"/>
    <w:rsid w:val="00FE7B88"/>
    <w:rsid w:val="07C853F0"/>
    <w:rsid w:val="08FB8AD4"/>
    <w:rsid w:val="1276EDEE"/>
    <w:rsid w:val="135E2C01"/>
    <w:rsid w:val="1BF331FC"/>
    <w:rsid w:val="239C3A66"/>
    <w:rsid w:val="2706B6F8"/>
    <w:rsid w:val="6C9A7FA7"/>
    <w:rsid w:val="6CCEA7B2"/>
    <w:rsid w:val="75BB3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47EFE"/>
  <w15:chartTrackingRefBased/>
  <w15:docId w15:val="{3F88FD0C-E48F-4F97-83C5-6B03BE69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F3B"/>
    <w:pPr>
      <w:keepNext/>
      <w:keepLines/>
      <w:spacing w:before="360" w:after="80"/>
      <w:outlineLvl w:val="0"/>
    </w:pPr>
    <w:rPr>
      <w:rFonts w:asciiTheme="majorHAnsi" w:eastAsiaTheme="majorEastAsia" w:hAnsiTheme="majorHAnsi" w:cstheme="majorBidi"/>
      <w:color w:val="00707E" w:themeColor="accent1" w:themeShade="BF"/>
      <w:sz w:val="40"/>
      <w:szCs w:val="40"/>
    </w:rPr>
  </w:style>
  <w:style w:type="paragraph" w:styleId="Heading2">
    <w:name w:val="heading 2"/>
    <w:basedOn w:val="Normal"/>
    <w:next w:val="Normal"/>
    <w:link w:val="Heading2Char"/>
    <w:uiPriority w:val="9"/>
    <w:semiHidden/>
    <w:unhideWhenUsed/>
    <w:qFormat/>
    <w:rsid w:val="00D91F3B"/>
    <w:pPr>
      <w:keepNext/>
      <w:keepLines/>
      <w:spacing w:before="160" w:after="80"/>
      <w:outlineLvl w:val="1"/>
    </w:pPr>
    <w:rPr>
      <w:rFonts w:asciiTheme="majorHAnsi" w:eastAsiaTheme="majorEastAsia" w:hAnsiTheme="majorHAnsi" w:cstheme="majorBidi"/>
      <w:color w:val="00707E" w:themeColor="accent1" w:themeShade="BF"/>
      <w:sz w:val="32"/>
      <w:szCs w:val="32"/>
    </w:rPr>
  </w:style>
  <w:style w:type="paragraph" w:styleId="Heading3">
    <w:name w:val="heading 3"/>
    <w:basedOn w:val="Normal"/>
    <w:next w:val="Normal"/>
    <w:link w:val="Heading3Char"/>
    <w:uiPriority w:val="9"/>
    <w:semiHidden/>
    <w:unhideWhenUsed/>
    <w:qFormat/>
    <w:rsid w:val="00D91F3B"/>
    <w:pPr>
      <w:keepNext/>
      <w:keepLines/>
      <w:spacing w:before="160" w:after="80"/>
      <w:outlineLvl w:val="2"/>
    </w:pPr>
    <w:rPr>
      <w:rFonts w:asciiTheme="minorHAnsi" w:eastAsiaTheme="majorEastAsia" w:hAnsiTheme="minorHAnsi" w:cstheme="majorBidi"/>
      <w:color w:val="00707E" w:themeColor="accent1" w:themeShade="BF"/>
      <w:sz w:val="28"/>
      <w:szCs w:val="28"/>
    </w:rPr>
  </w:style>
  <w:style w:type="paragraph" w:styleId="Heading4">
    <w:name w:val="heading 4"/>
    <w:basedOn w:val="Normal"/>
    <w:next w:val="Normal"/>
    <w:link w:val="Heading4Char"/>
    <w:uiPriority w:val="9"/>
    <w:semiHidden/>
    <w:unhideWhenUsed/>
    <w:qFormat/>
    <w:rsid w:val="00D91F3B"/>
    <w:pPr>
      <w:keepNext/>
      <w:keepLines/>
      <w:spacing w:before="80" w:after="40"/>
      <w:outlineLvl w:val="3"/>
    </w:pPr>
    <w:rPr>
      <w:rFonts w:asciiTheme="minorHAnsi" w:eastAsiaTheme="majorEastAsia" w:hAnsiTheme="minorHAnsi" w:cstheme="majorBidi"/>
      <w:i/>
      <w:iCs/>
      <w:color w:val="00707E" w:themeColor="accent1" w:themeShade="BF"/>
    </w:rPr>
  </w:style>
  <w:style w:type="paragraph" w:styleId="Heading5">
    <w:name w:val="heading 5"/>
    <w:basedOn w:val="Normal"/>
    <w:next w:val="Normal"/>
    <w:link w:val="Heading5Char"/>
    <w:uiPriority w:val="9"/>
    <w:semiHidden/>
    <w:unhideWhenUsed/>
    <w:qFormat/>
    <w:rsid w:val="00D91F3B"/>
    <w:pPr>
      <w:keepNext/>
      <w:keepLines/>
      <w:spacing w:before="80" w:after="40"/>
      <w:outlineLvl w:val="4"/>
    </w:pPr>
    <w:rPr>
      <w:rFonts w:asciiTheme="minorHAnsi" w:eastAsiaTheme="majorEastAsia" w:hAnsiTheme="minorHAnsi" w:cstheme="majorBidi"/>
      <w:color w:val="00707E" w:themeColor="accent1" w:themeShade="BF"/>
    </w:rPr>
  </w:style>
  <w:style w:type="paragraph" w:styleId="Heading6">
    <w:name w:val="heading 6"/>
    <w:basedOn w:val="Normal"/>
    <w:next w:val="Normal"/>
    <w:link w:val="Heading6Char"/>
    <w:uiPriority w:val="9"/>
    <w:semiHidden/>
    <w:unhideWhenUsed/>
    <w:qFormat/>
    <w:rsid w:val="00D91F3B"/>
    <w:pPr>
      <w:keepNext/>
      <w:keepLines/>
      <w:spacing w:before="40" w:after="0"/>
      <w:outlineLvl w:val="5"/>
    </w:pPr>
    <w:rPr>
      <w:rFonts w:asciiTheme="minorHAnsi" w:eastAsiaTheme="majorEastAsia" w:hAnsiTheme="minorHAnsi" w:cstheme="majorBidi"/>
      <w:i/>
      <w:iCs/>
      <w:color w:val="828282" w:themeColor="text1" w:themeTint="A6"/>
    </w:rPr>
  </w:style>
  <w:style w:type="paragraph" w:styleId="Heading7">
    <w:name w:val="heading 7"/>
    <w:basedOn w:val="Normal"/>
    <w:next w:val="Normal"/>
    <w:link w:val="Heading7Char"/>
    <w:uiPriority w:val="9"/>
    <w:semiHidden/>
    <w:unhideWhenUsed/>
    <w:qFormat/>
    <w:rsid w:val="00D91F3B"/>
    <w:pPr>
      <w:keepNext/>
      <w:keepLines/>
      <w:spacing w:before="40" w:after="0"/>
      <w:outlineLvl w:val="6"/>
    </w:pPr>
    <w:rPr>
      <w:rFonts w:asciiTheme="minorHAnsi" w:eastAsiaTheme="majorEastAsia" w:hAnsiTheme="minorHAnsi" w:cstheme="majorBidi"/>
      <w:color w:val="828282" w:themeColor="text1" w:themeTint="A6"/>
    </w:rPr>
  </w:style>
  <w:style w:type="paragraph" w:styleId="Heading8">
    <w:name w:val="heading 8"/>
    <w:basedOn w:val="Normal"/>
    <w:next w:val="Normal"/>
    <w:link w:val="Heading8Char"/>
    <w:uiPriority w:val="9"/>
    <w:semiHidden/>
    <w:unhideWhenUsed/>
    <w:qFormat/>
    <w:rsid w:val="00D91F3B"/>
    <w:pPr>
      <w:keepNext/>
      <w:keepLines/>
      <w:spacing w:after="0"/>
      <w:outlineLvl w:val="7"/>
    </w:pPr>
    <w:rPr>
      <w:rFonts w:asciiTheme="minorHAnsi" w:eastAsiaTheme="majorEastAsia" w:hAnsiTheme="minorHAnsi" w:cstheme="majorBidi"/>
      <w:i/>
      <w:iCs/>
      <w:color w:val="5C5C5C" w:themeColor="text1" w:themeTint="D8"/>
    </w:rPr>
  </w:style>
  <w:style w:type="paragraph" w:styleId="Heading9">
    <w:name w:val="heading 9"/>
    <w:basedOn w:val="Normal"/>
    <w:next w:val="Normal"/>
    <w:link w:val="Heading9Char"/>
    <w:uiPriority w:val="9"/>
    <w:semiHidden/>
    <w:unhideWhenUsed/>
    <w:qFormat/>
    <w:rsid w:val="00D91F3B"/>
    <w:pPr>
      <w:keepNext/>
      <w:keepLines/>
      <w:spacing w:after="0"/>
      <w:outlineLvl w:val="8"/>
    </w:pPr>
    <w:rPr>
      <w:rFonts w:asciiTheme="minorHAnsi" w:eastAsiaTheme="majorEastAsia" w:hAnsiTheme="minorHAnsi" w:cstheme="majorBidi"/>
      <w:color w:val="5C5C5C"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3B"/>
    <w:rPr>
      <w:rFonts w:asciiTheme="majorHAnsi" w:eastAsiaTheme="majorEastAsia" w:hAnsiTheme="majorHAnsi" w:cstheme="majorBidi"/>
      <w:color w:val="00707E" w:themeColor="accent1" w:themeShade="BF"/>
      <w:sz w:val="40"/>
      <w:szCs w:val="40"/>
    </w:rPr>
  </w:style>
  <w:style w:type="character" w:customStyle="1" w:styleId="Heading2Char">
    <w:name w:val="Heading 2 Char"/>
    <w:basedOn w:val="DefaultParagraphFont"/>
    <w:link w:val="Heading2"/>
    <w:uiPriority w:val="9"/>
    <w:semiHidden/>
    <w:rsid w:val="00D91F3B"/>
    <w:rPr>
      <w:rFonts w:asciiTheme="majorHAnsi" w:eastAsiaTheme="majorEastAsia" w:hAnsiTheme="majorHAnsi" w:cstheme="majorBidi"/>
      <w:color w:val="00707E" w:themeColor="accent1" w:themeShade="BF"/>
      <w:sz w:val="32"/>
      <w:szCs w:val="32"/>
    </w:rPr>
  </w:style>
  <w:style w:type="character" w:customStyle="1" w:styleId="Heading3Char">
    <w:name w:val="Heading 3 Char"/>
    <w:basedOn w:val="DefaultParagraphFont"/>
    <w:link w:val="Heading3"/>
    <w:uiPriority w:val="9"/>
    <w:semiHidden/>
    <w:rsid w:val="00D91F3B"/>
    <w:rPr>
      <w:rFonts w:asciiTheme="minorHAnsi" w:eastAsiaTheme="majorEastAsia" w:hAnsiTheme="minorHAnsi" w:cstheme="majorBidi"/>
      <w:color w:val="00707E" w:themeColor="accent1" w:themeShade="BF"/>
      <w:sz w:val="28"/>
      <w:szCs w:val="28"/>
    </w:rPr>
  </w:style>
  <w:style w:type="character" w:customStyle="1" w:styleId="Heading4Char">
    <w:name w:val="Heading 4 Char"/>
    <w:basedOn w:val="DefaultParagraphFont"/>
    <w:link w:val="Heading4"/>
    <w:uiPriority w:val="9"/>
    <w:semiHidden/>
    <w:rsid w:val="00D91F3B"/>
    <w:rPr>
      <w:rFonts w:asciiTheme="minorHAnsi" w:eastAsiaTheme="majorEastAsia" w:hAnsiTheme="minorHAnsi" w:cstheme="majorBidi"/>
      <w:i/>
      <w:iCs/>
      <w:color w:val="00707E" w:themeColor="accent1" w:themeShade="BF"/>
    </w:rPr>
  </w:style>
  <w:style w:type="character" w:customStyle="1" w:styleId="Heading5Char">
    <w:name w:val="Heading 5 Char"/>
    <w:basedOn w:val="DefaultParagraphFont"/>
    <w:link w:val="Heading5"/>
    <w:uiPriority w:val="9"/>
    <w:semiHidden/>
    <w:rsid w:val="00D91F3B"/>
    <w:rPr>
      <w:rFonts w:asciiTheme="minorHAnsi" w:eastAsiaTheme="majorEastAsia" w:hAnsiTheme="minorHAnsi" w:cstheme="majorBidi"/>
      <w:color w:val="00707E" w:themeColor="accent1" w:themeShade="BF"/>
    </w:rPr>
  </w:style>
  <w:style w:type="character" w:customStyle="1" w:styleId="Heading6Char">
    <w:name w:val="Heading 6 Char"/>
    <w:basedOn w:val="DefaultParagraphFont"/>
    <w:link w:val="Heading6"/>
    <w:uiPriority w:val="9"/>
    <w:semiHidden/>
    <w:rsid w:val="00D91F3B"/>
    <w:rPr>
      <w:rFonts w:asciiTheme="minorHAnsi" w:eastAsiaTheme="majorEastAsia" w:hAnsiTheme="minorHAnsi" w:cstheme="majorBidi"/>
      <w:i/>
      <w:iCs/>
      <w:color w:val="828282" w:themeColor="text1" w:themeTint="A6"/>
    </w:rPr>
  </w:style>
  <w:style w:type="character" w:customStyle="1" w:styleId="Heading7Char">
    <w:name w:val="Heading 7 Char"/>
    <w:basedOn w:val="DefaultParagraphFont"/>
    <w:link w:val="Heading7"/>
    <w:uiPriority w:val="9"/>
    <w:semiHidden/>
    <w:rsid w:val="00D91F3B"/>
    <w:rPr>
      <w:rFonts w:asciiTheme="minorHAnsi" w:eastAsiaTheme="majorEastAsia" w:hAnsiTheme="minorHAnsi" w:cstheme="majorBidi"/>
      <w:color w:val="828282" w:themeColor="text1" w:themeTint="A6"/>
    </w:rPr>
  </w:style>
  <w:style w:type="character" w:customStyle="1" w:styleId="Heading8Char">
    <w:name w:val="Heading 8 Char"/>
    <w:basedOn w:val="DefaultParagraphFont"/>
    <w:link w:val="Heading8"/>
    <w:uiPriority w:val="9"/>
    <w:semiHidden/>
    <w:rsid w:val="00D91F3B"/>
    <w:rPr>
      <w:rFonts w:asciiTheme="minorHAnsi" w:eastAsiaTheme="majorEastAsia" w:hAnsiTheme="minorHAnsi" w:cstheme="majorBidi"/>
      <w:i/>
      <w:iCs/>
      <w:color w:val="5C5C5C" w:themeColor="text1" w:themeTint="D8"/>
    </w:rPr>
  </w:style>
  <w:style w:type="character" w:customStyle="1" w:styleId="Heading9Char">
    <w:name w:val="Heading 9 Char"/>
    <w:basedOn w:val="DefaultParagraphFont"/>
    <w:link w:val="Heading9"/>
    <w:uiPriority w:val="9"/>
    <w:semiHidden/>
    <w:rsid w:val="00D91F3B"/>
    <w:rPr>
      <w:rFonts w:asciiTheme="minorHAnsi" w:eastAsiaTheme="majorEastAsia" w:hAnsiTheme="minorHAnsi" w:cstheme="majorBidi"/>
      <w:color w:val="5C5C5C" w:themeColor="text1" w:themeTint="D8"/>
    </w:rPr>
  </w:style>
  <w:style w:type="paragraph" w:styleId="Title">
    <w:name w:val="Title"/>
    <w:basedOn w:val="Normal"/>
    <w:next w:val="Normal"/>
    <w:link w:val="TitleChar"/>
    <w:uiPriority w:val="10"/>
    <w:qFormat/>
    <w:rsid w:val="00D91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F3B"/>
    <w:pPr>
      <w:numPr>
        <w:ilvl w:val="1"/>
      </w:numPr>
    </w:pPr>
    <w:rPr>
      <w:rFonts w:asciiTheme="minorHAnsi" w:eastAsiaTheme="majorEastAsia" w:hAnsiTheme="minorHAnsi" w:cstheme="majorBidi"/>
      <w:color w:val="828282" w:themeColor="text1" w:themeTint="A6"/>
      <w:spacing w:val="15"/>
      <w:sz w:val="28"/>
      <w:szCs w:val="28"/>
    </w:rPr>
  </w:style>
  <w:style w:type="character" w:customStyle="1" w:styleId="SubtitleChar">
    <w:name w:val="Subtitle Char"/>
    <w:basedOn w:val="DefaultParagraphFont"/>
    <w:link w:val="Subtitle"/>
    <w:uiPriority w:val="11"/>
    <w:rsid w:val="00D91F3B"/>
    <w:rPr>
      <w:rFonts w:asciiTheme="minorHAnsi" w:eastAsiaTheme="majorEastAsia" w:hAnsiTheme="minorHAnsi" w:cstheme="majorBidi"/>
      <w:color w:val="828282" w:themeColor="text1" w:themeTint="A6"/>
      <w:spacing w:val="15"/>
      <w:sz w:val="28"/>
      <w:szCs w:val="28"/>
    </w:rPr>
  </w:style>
  <w:style w:type="paragraph" w:styleId="Quote">
    <w:name w:val="Quote"/>
    <w:basedOn w:val="Normal"/>
    <w:next w:val="Normal"/>
    <w:link w:val="QuoteChar"/>
    <w:uiPriority w:val="29"/>
    <w:qFormat/>
    <w:rsid w:val="00D91F3B"/>
    <w:pPr>
      <w:spacing w:before="160"/>
      <w:jc w:val="center"/>
    </w:pPr>
    <w:rPr>
      <w:i/>
      <w:iCs/>
      <w:color w:val="6F6F6F" w:themeColor="text1" w:themeTint="BF"/>
    </w:rPr>
  </w:style>
  <w:style w:type="character" w:customStyle="1" w:styleId="QuoteChar">
    <w:name w:val="Quote Char"/>
    <w:basedOn w:val="DefaultParagraphFont"/>
    <w:link w:val="Quote"/>
    <w:uiPriority w:val="29"/>
    <w:rsid w:val="00D91F3B"/>
    <w:rPr>
      <w:i/>
      <w:iCs/>
      <w:color w:val="6F6F6F" w:themeColor="text1" w:themeTint="BF"/>
    </w:rPr>
  </w:style>
  <w:style w:type="paragraph" w:styleId="ListParagraph">
    <w:name w:val="List Paragraph"/>
    <w:basedOn w:val="Normal"/>
    <w:uiPriority w:val="34"/>
    <w:qFormat/>
    <w:rsid w:val="00D91F3B"/>
    <w:pPr>
      <w:ind w:left="720"/>
      <w:contextualSpacing/>
    </w:pPr>
  </w:style>
  <w:style w:type="character" w:styleId="IntenseEmphasis">
    <w:name w:val="Intense Emphasis"/>
    <w:basedOn w:val="DefaultParagraphFont"/>
    <w:uiPriority w:val="21"/>
    <w:qFormat/>
    <w:rsid w:val="00D91F3B"/>
    <w:rPr>
      <w:i/>
      <w:iCs/>
      <w:color w:val="00707E" w:themeColor="accent1" w:themeShade="BF"/>
    </w:rPr>
  </w:style>
  <w:style w:type="paragraph" w:styleId="IntenseQuote">
    <w:name w:val="Intense Quote"/>
    <w:basedOn w:val="Normal"/>
    <w:next w:val="Normal"/>
    <w:link w:val="IntenseQuoteChar"/>
    <w:uiPriority w:val="30"/>
    <w:qFormat/>
    <w:rsid w:val="00D91F3B"/>
    <w:pPr>
      <w:pBdr>
        <w:top w:val="single" w:sz="4" w:space="10" w:color="00707E" w:themeColor="accent1" w:themeShade="BF"/>
        <w:bottom w:val="single" w:sz="4" w:space="10" w:color="00707E" w:themeColor="accent1" w:themeShade="BF"/>
      </w:pBdr>
      <w:spacing w:before="360" w:after="360"/>
      <w:ind w:left="864" w:right="864"/>
      <w:jc w:val="center"/>
    </w:pPr>
    <w:rPr>
      <w:i/>
      <w:iCs/>
      <w:color w:val="00707E" w:themeColor="accent1" w:themeShade="BF"/>
    </w:rPr>
  </w:style>
  <w:style w:type="character" w:customStyle="1" w:styleId="IntenseQuoteChar">
    <w:name w:val="Intense Quote Char"/>
    <w:basedOn w:val="DefaultParagraphFont"/>
    <w:link w:val="IntenseQuote"/>
    <w:uiPriority w:val="30"/>
    <w:rsid w:val="00D91F3B"/>
    <w:rPr>
      <w:i/>
      <w:iCs/>
      <w:color w:val="00707E" w:themeColor="accent1" w:themeShade="BF"/>
    </w:rPr>
  </w:style>
  <w:style w:type="character" w:styleId="IntenseReference">
    <w:name w:val="Intense Reference"/>
    <w:basedOn w:val="DefaultParagraphFont"/>
    <w:uiPriority w:val="32"/>
    <w:qFormat/>
    <w:rsid w:val="00D91F3B"/>
    <w:rPr>
      <w:b/>
      <w:bCs/>
      <w:smallCaps/>
      <w:color w:val="00707E" w:themeColor="accent1" w:themeShade="BF"/>
      <w:spacing w:val="5"/>
    </w:rPr>
  </w:style>
  <w:style w:type="paragraph" w:styleId="Header">
    <w:name w:val="header"/>
    <w:basedOn w:val="Normal"/>
    <w:link w:val="HeaderChar"/>
    <w:uiPriority w:val="99"/>
    <w:unhideWhenUsed/>
    <w:rsid w:val="00D91F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1F3B"/>
  </w:style>
  <w:style w:type="paragraph" w:styleId="Footer">
    <w:name w:val="footer"/>
    <w:basedOn w:val="Normal"/>
    <w:link w:val="FooterChar"/>
    <w:uiPriority w:val="99"/>
    <w:semiHidden/>
    <w:unhideWhenUsed/>
    <w:rsid w:val="000C4F6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C4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GEMERC_Office_Theme">
  <a:themeElements>
    <a:clrScheme name="Custom 1">
      <a:dk1>
        <a:srgbClr val="3F3F3F"/>
      </a:dk1>
      <a:lt1>
        <a:srgbClr val="FFFFFF"/>
      </a:lt1>
      <a:dk2>
        <a:srgbClr val="002D72"/>
      </a:dk2>
      <a:lt2>
        <a:srgbClr val="FFFFFF"/>
      </a:lt2>
      <a:accent1>
        <a:srgbClr val="0097A9"/>
      </a:accent1>
      <a:accent2>
        <a:srgbClr val="A2B2C8"/>
      </a:accent2>
      <a:accent3>
        <a:srgbClr val="F6B21B"/>
      </a:accent3>
      <a:accent4>
        <a:srgbClr val="6BCABA"/>
      </a:accent4>
      <a:accent5>
        <a:srgbClr val="66C1CB"/>
      </a:accent5>
      <a:accent6>
        <a:srgbClr val="C7D1DE"/>
      </a:accent6>
      <a:hlink>
        <a:srgbClr val="33578E"/>
      </a:hlink>
      <a:folHlink>
        <a:srgbClr val="829AA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EMERC_Office_Theme" id="{A7FC6223-1A0B-490A-A4B8-CE650C15B5F7}" vid="{694E9596-A35B-4E95-A080-396FCD9A883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204d59c-a96e-477e-a356-d7155e48d8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DB75CFE263834F8A3FA9648313A5F3" ma:contentTypeVersion="16" ma:contentTypeDescription="Create a new document." ma:contentTypeScope="" ma:versionID="78e1aab50d84d2328ff828a5e786198e">
  <xsd:schema xmlns:xsd="http://www.w3.org/2001/XMLSchema" xmlns:xs="http://www.w3.org/2001/XMLSchema" xmlns:p="http://schemas.microsoft.com/office/2006/metadata/properties" xmlns:ns3="4204d59c-a96e-477e-a356-d7155e48d8bd" xmlns:ns4="383e43d1-790b-4c31-b2d8-0f892cd6d7a9" targetNamespace="http://schemas.microsoft.com/office/2006/metadata/properties" ma:root="true" ma:fieldsID="9bd0c161a9c9698e94934ac95f731fe0" ns3:_="" ns4:_="">
    <xsd:import namespace="4204d59c-a96e-477e-a356-d7155e48d8bd"/>
    <xsd:import namespace="383e43d1-790b-4c31-b2d8-0f892cd6d7a9"/>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04d59c-a96e-477e-a356-d7155e48d8b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3e43d1-790b-4c31-b2d8-0f892cd6d7a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4E2DDB-0315-41C3-B8CB-8ABD6DD07927}">
  <ds:schemaRefs>
    <ds:schemaRef ds:uri="http://schemas.microsoft.com/sharepoint/v3/contenttype/forms"/>
  </ds:schemaRefs>
</ds:datastoreItem>
</file>

<file path=customXml/itemProps2.xml><?xml version="1.0" encoding="utf-8"?>
<ds:datastoreItem xmlns:ds="http://schemas.openxmlformats.org/officeDocument/2006/customXml" ds:itemID="{C1F9D292-0D80-425F-BB63-5EAA6C1C9454}">
  <ds:schemaRefs>
    <ds:schemaRef ds:uri="http://schemas.microsoft.com/office/2006/metadata/properties"/>
    <ds:schemaRef ds:uri="http://schemas.microsoft.com/office/infopath/2007/PartnerControls"/>
    <ds:schemaRef ds:uri="4204d59c-a96e-477e-a356-d7155e48d8bd"/>
  </ds:schemaRefs>
</ds:datastoreItem>
</file>

<file path=customXml/itemProps3.xml><?xml version="1.0" encoding="utf-8"?>
<ds:datastoreItem xmlns:ds="http://schemas.openxmlformats.org/officeDocument/2006/customXml" ds:itemID="{9532DADA-0E8F-4931-8B58-26E8532A9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04d59c-a96e-477e-a356-d7155e48d8bd"/>
    <ds:schemaRef ds:uri="383e43d1-790b-4c31-b2d8-0f892cd6d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4548</Characters>
  <Application>Microsoft Office Word</Application>
  <DocSecurity>4</DocSecurity>
  <Lines>113</Lines>
  <Paragraphs>66</Paragraphs>
  <ScaleCrop>false</ScaleCrop>
  <Company>SSE PLC</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Hardman, Jonathon</dc:creator>
  <cp:keywords/>
  <dc:description/>
  <cp:lastModifiedBy>Chisholm, Euan</cp:lastModifiedBy>
  <cp:revision>2</cp:revision>
  <dcterms:created xsi:type="dcterms:W3CDTF">2026-07-10T16:43:00Z</dcterms:created>
  <dcterms:modified xsi:type="dcterms:W3CDTF">2026-07-10T16:43:00Z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WatermarkShapeIds">
    <vt:lpwstr>6d68b243,46651dfa,20afd806</vt:lpwstr>
  </property>
  <property fmtid="{D5CDD505-2E9C-101B-9397-08002B2CF9AE}" pid="3" name="ClassificationWatermarkFontProps">
    <vt:lpwstr>#dcdcdc,1,Aptos</vt:lpwstr>
  </property>
  <property fmtid="{D5CDD505-2E9C-101B-9397-08002B2CF9AE}" pid="4" name="ClassificationWatermarkText">
    <vt:lpwstr>Confidential</vt:lpwstr>
  </property>
  <property fmtid="{D5CDD505-2E9C-101B-9397-08002B2CF9AE}" pid="5" name="MSIP_Label_9a1593e3-eb40-4b63-9198-a6ec3e998e52_Enabled">
    <vt:lpwstr>true</vt:lpwstr>
  </property>
  <property fmtid="{D5CDD505-2E9C-101B-9397-08002B2CF9AE}" pid="6" name="MSIP_Label_9a1593e3-eb40-4b63-9198-a6ec3e998e52_SetDate">
    <vt:lpwstr>2025-12-07T19:47:02Z</vt:lpwstr>
  </property>
  <property fmtid="{D5CDD505-2E9C-101B-9397-08002B2CF9AE}" pid="7" name="MSIP_Label_9a1593e3-eb40-4b63-9198-a6ec3e998e52_Method">
    <vt:lpwstr>Privileged</vt:lpwstr>
  </property>
  <property fmtid="{D5CDD505-2E9C-101B-9397-08002B2CF9AE}" pid="8" name="MSIP_Label_9a1593e3-eb40-4b63-9198-a6ec3e998e52_Name">
    <vt:lpwstr>9a1593e3-eb40-4b63-9198-a6ec3e998e52</vt:lpwstr>
  </property>
  <property fmtid="{D5CDD505-2E9C-101B-9397-08002B2CF9AE}" pid="9" name="MSIP_Label_9a1593e3-eb40-4b63-9198-a6ec3e998e52_SiteId">
    <vt:lpwstr>953b0f83-1ce6-45c3-82c9-1d847e372339</vt:lpwstr>
  </property>
  <property fmtid="{D5CDD505-2E9C-101B-9397-08002B2CF9AE}" pid="10" name="MSIP_Label_9a1593e3-eb40-4b63-9198-a6ec3e998e52_ActionId">
    <vt:lpwstr>8286393d-6302-4b37-b42e-017ce6dccafb</vt:lpwstr>
  </property>
  <property fmtid="{D5CDD505-2E9C-101B-9397-08002B2CF9AE}" pid="11" name="MSIP_Label_9a1593e3-eb40-4b63-9198-a6ec3e998e52_ContentBits">
    <vt:lpwstr>4</vt:lpwstr>
  </property>
  <property fmtid="{D5CDD505-2E9C-101B-9397-08002B2CF9AE}" pid="12" name="MSIP_Label_9a1593e3-eb40-4b63-9198-a6ec3e998e52_Tag">
    <vt:lpwstr>10, 0, 1, 1</vt:lpwstr>
  </property>
  <property fmtid="{D5CDD505-2E9C-101B-9397-08002B2CF9AE}" pid="13" name="ContentTypeId">
    <vt:lpwstr>0x010100DADB75CFE263834F8A3FA9648313A5F3</vt:lpwstr>
  </property>
  <property fmtid="{D5CDD505-2E9C-101B-9397-08002B2CF9AE}" pid="14" name="MediaServiceImageTags">
    <vt:lpwstr/>
  </property>
  <property fmtid="{D5CDD505-2E9C-101B-9397-08002B2CF9AE}" pid="15" name="docLang">
    <vt:lpwstr>en</vt:lpwstr>
  </property>
</Properties>
</file>