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240" w:after="120"/>
        <w:jc w:val="center"/>
        <w:rPr/>
      </w:pPr>
      <w:r>
        <w:rPr/>
        <w:drawing>
          <wp:inline distT="0" distB="0" distL="0" distR="0">
            <wp:extent cx="638175" cy="695325"/>
            <wp:effectExtent l="0" t="0" r="0" b="0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fr-FR"/>
        </w:rPr>
        <w:t xml:space="preserve">          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</w:t>
      </w:r>
      <w:r>
        <w:rPr>
          <w:rFonts w:ascii="Arial" w:hAnsi="Arial"/>
          <w:color w:val="222222"/>
          <w:spacing w:val="-15"/>
          <w:sz w:val="45"/>
          <w:lang w:val="fr-FR"/>
        </w:rPr>
        <w:t>Texte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>3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+ </w:t>
      </w:r>
      <w:r>
        <w:rPr>
          <w:rFonts w:ascii="Arial" w:hAnsi="Arial"/>
          <w:color w:val="222222"/>
          <w:spacing w:val="-15"/>
          <w:sz w:val="45"/>
          <w:lang w:val="fr-FR"/>
        </w:rPr>
        <w:t>Close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</w:t>
      </w:r>
      <w:r>
        <w:rPr>
          <w:rFonts w:ascii="Arial" w:hAnsi="Arial"/>
          <w:color w:val="222222"/>
          <w:spacing w:val="-15"/>
          <w:sz w:val="45"/>
          <w:lang w:val="fr-FR"/>
        </w:rPr>
        <w:t>test</w:t>
      </w:r>
      <w:r>
        <w:rPr>
          <w:rFonts w:eastAsia="Arial" w:ascii="Arial" w:hAnsi="Arial"/>
          <w:color w:val="222222"/>
          <w:spacing w:val="-15"/>
          <w:sz w:val="45"/>
          <w:lang w:val="fr-FR"/>
        </w:rPr>
        <w:t xml:space="preserve"> – </w:t>
      </w:r>
      <w:r>
        <w:rPr>
          <w:rFonts w:ascii="Arial" w:hAnsi="Arial"/>
          <w:color w:val="222222"/>
          <w:spacing w:val="-15"/>
          <w:sz w:val="45"/>
          <w:lang w:val="fr-FR"/>
        </w:rPr>
        <w:t>LF 1</w:t>
      </w:r>
    </w:p>
    <w:p>
      <w:pPr>
        <w:pStyle w:val="Titolo1"/>
        <w:numPr>
          <w:ilvl w:val="0"/>
          <w:numId w:val="0"/>
        </w:numPr>
        <w:shd w:val="clear" w:color="auto" w:fill="FFFFFF"/>
        <w:spacing w:lineRule="atLeast" w:line="312" w:before="0" w:after="0"/>
        <w:ind w:left="0" w:hanging="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fr-FR" w:eastAsia="it-IT"/>
        </w:rPr>
        <w:t>AA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fr-FR" w:eastAsia="it-IT"/>
        </w:rPr>
        <w:t>2019-2020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 w:eastAsia="it-IT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fr-FR" w:eastAsia="it-IT" w:bidi="ar-SA"/>
        </w:rPr>
        <w:t>2° SEM  Lezione del 17 Marzo 2020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  <w:lang w:val="fr-FR" w:eastAsia="it-IT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val="fr-FR" w:eastAsia="it-IT"/>
        </w:rPr>
        <w:t xml:space="preserve">Ecoles de commerce : jusqu’où se poursuivra la hausse des frais de scolarité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fr-FR" w:eastAsia="it-IT"/>
        </w:rPr>
        <w:t>(rette scolastiche)</w:t>
      </w:r>
      <w:r>
        <w:rPr>
          <w:rFonts w:eastAsia="Times New Roman" w:cs="Times New Roman" w:ascii="Times New Roman" w:hAnsi="Times New Roman"/>
          <w:b/>
          <w:bCs/>
          <w:sz w:val="48"/>
          <w:szCs w:val="48"/>
          <w:lang w:val="fr-FR" w:eastAsia="it-IT"/>
        </w:rPr>
        <w:t> 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fr-FR"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it-IT"/>
        </w:rPr>
        <w:t xml:space="preserve">En France, il existe deux filières pour effectuer des études supérieures, dites de 3ème cycle, l’université publique, avec des frais d’inscription encadrés et garantis par l’État (220 euros/an en moyenne) et les Ecoles de Commerce (privées) ou d’Ingénieurs (privées et publiques).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it-IT"/>
        </w:rPr>
        <w:t>La plupart des établissements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fr-FR" w:eastAsia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fr-FR" w:eastAsia="it-IT"/>
        </w:rPr>
        <w:t>privés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it-IT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it-IT"/>
        </w:rPr>
        <w:t xml:space="preserve">ont fortement majoré leurs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it-IT"/>
        </w:rPr>
        <w:t>frais d’inscription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it-IT"/>
        </w:rPr>
        <w:t xml:space="preserve">. A l’avenir,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it-IT"/>
        </w:rPr>
        <w:t>ces tarifs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it-IT"/>
        </w:rPr>
        <w:t xml:space="preserve"> devraient continuer à augmenter mais d’une manière limitée.</w:t>
      </w:r>
    </w:p>
    <w:p>
      <w:pPr>
        <w:pStyle w:val="Normal"/>
        <w:spacing w:lineRule="auto" w:line="240" w:beforeAutospacing="1" w:afterAutospacing="1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it-IT"/>
        </w:rPr>
        <w:t>LE MONDE | 15.11.2016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fr-FR" w:eastAsia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fr-FR" w:eastAsia="it-IT"/>
        </w:rPr>
        <w:t xml:space="preserve">La question mérite d’être posée, au vu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fr-FR" w:eastAsia="it-IT"/>
        </w:rPr>
        <w:t>(visto/dato)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fr-FR" w:eastAsia="it-IT"/>
        </w:rPr>
        <w:t xml:space="preserve"> du parcours déjà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fr-FR" w:eastAsia="it-IT"/>
        </w:rPr>
        <w:t>(già)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fr-FR" w:eastAsia="it-IT"/>
        </w:rPr>
        <w:t xml:space="preserve"> accompli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fr-FR" w:eastAsia="it-IT"/>
        </w:rPr>
        <w:t>(compiuto)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fr-FR" w:eastAsia="it-IT"/>
        </w:rPr>
        <w:t xml:space="preserve"> ces dernières années : une hausse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fr-FR" w:eastAsia="it-IT"/>
        </w:rPr>
        <w:t>(aumento)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fr-FR" w:eastAsia="it-IT"/>
        </w:rPr>
        <w:t xml:space="preserve"> de l’ordre de 15 % à 20 % et un montant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fr-FR" w:eastAsia="it-IT"/>
        </w:rPr>
        <w:t xml:space="preserve">(ammontare)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fr-FR" w:eastAsia="it-IT"/>
        </w:rPr>
        <w:t>moyen tournant désormais autour de 10 500 euros. En vingt ans, les tarifs ont été multipliés par deux et demi, notait l’Institut Montaigne en 2014.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Aujourd’hui, la plupart des écoles se situent dans une fourchette de 8 000 à 12 000 euros par an, seule Télécom </w:t>
      </w:r>
      <w:hyperlink r:id="rId3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Management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affichant un tarif franchement inférieur. Quant aux grands établissements parisiens, ils tutoient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(sfiorano)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désormais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>(oramai)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la barre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>(l’asticella)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des 15 000 euros.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Et celle-ci devrait </w:t>
      </w:r>
      <w:hyperlink r:id="rId4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être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franchie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(varcata/superata)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rapidement, au moins par HEC (Hautes Etudes Commerciales). Peter Todd, son directeur général, prévoit d’augmenter ses droits de 6 % à 8 % par an sur les trois prochaines années. Ce qui pourrait </w:t>
      </w:r>
      <w:hyperlink r:id="rId5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conduire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les tarifs de l’établissement tout près de (vicino a) 19 000 euros par an – un record pour l’Hexagone.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it-IT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u w:val="none"/>
          <w:lang w:eastAsia="it-IT"/>
        </w:rPr>
        <w:t>Large (ampia) palette (gamma) de services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Est-ce un plafond ? Ce mouvement peut-il se poursuivre ? Les avis sont partagés.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« Nous sommes aujourd’hui au maximum socialement acceptable, compte tenu du </w:t>
      </w:r>
      <w:hyperlink r:id="rId6">
        <w:r>
          <w:rPr>
            <w:rStyle w:val="CollegamentoInternet"/>
            <w:rFonts w:eastAsia="Times New Roman" w:cs="Times New Roman" w:ascii="Times New Roman" w:hAnsi="Times New Roman"/>
            <w:i/>
            <w:iCs/>
            <w:color w:val="000000"/>
            <w:sz w:val="24"/>
            <w:szCs w:val="24"/>
            <w:u w:val="none"/>
            <w:lang w:val="fr-FR" w:eastAsia="it-IT"/>
          </w:rPr>
          <w:t>contexte</w:t>
        </w:r>
      </w:hyperlink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 économique,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estime Jean-Guy Bernard, directeur général d’EM Normandie.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Beaucoup de familles ne pourraient pas </w:t>
      </w:r>
      <w:hyperlink r:id="rId7">
        <w:r>
          <w:rPr>
            <w:rStyle w:val="CollegamentoInternet"/>
            <w:rFonts w:eastAsia="Times New Roman" w:cs="Times New Roman" w:ascii="Times New Roman" w:hAnsi="Times New Roman"/>
            <w:i/>
            <w:iCs/>
            <w:color w:val="000000"/>
            <w:sz w:val="24"/>
            <w:szCs w:val="24"/>
            <w:u w:val="none"/>
            <w:lang w:val="fr-FR" w:eastAsia="it-IT"/>
          </w:rPr>
          <w:t>payer</w:t>
        </w:r>
      </w:hyperlink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 plus. »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Un point de vue que partagent nombre de responsables. A 12 000 ou 15 000 euros l’an (sans </w:t>
      </w:r>
      <w:hyperlink r:id="rId8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parler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du coût du </w:t>
      </w:r>
      <w:hyperlink r:id="rId9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logement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, des frais de vie, des fournitures…), même les ménages aisés doivent </w:t>
      </w:r>
      <w:hyperlink r:id="rId10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fournir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un effort conséquent et ne parviennent pas toujours à </w:t>
      </w:r>
      <w:hyperlink r:id="rId11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financer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une seconde scolarité payante lorsque deux de leurs enfants se suivent de près.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Beaucoup, cependant, tiennent à </w:t>
      </w:r>
      <w:hyperlink r:id="rId12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relativiser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le coût actuel des business schools en trois ans.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« Si on lisse le cursus sur cinq années, nos écoles restent moins chères que bien des formations postbac,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>souligne Alice Guilhon, directrice générale de Skema.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 Nos élèves béné</w:t>
        <w:softHyphen/>
        <w:t xml:space="preserve">ficient d’une très large palette de services : </w:t>
        <w:softHyphen/>
        <w:t xml:space="preserve">système d’information performant, </w:t>
      </w:r>
      <w:hyperlink r:id="rId13">
        <w:r>
          <w:rPr>
            <w:rStyle w:val="CollegamentoInternet"/>
            <w:rFonts w:eastAsia="Times New Roman" w:cs="Times New Roman" w:ascii="Times New Roman" w:hAnsi="Times New Roman"/>
            <w:i/>
            <w:iCs/>
            <w:color w:val="000000"/>
            <w:sz w:val="24"/>
            <w:szCs w:val="24"/>
            <w:u w:val="none"/>
            <w:lang w:val="fr-FR" w:eastAsia="it-IT"/>
          </w:rPr>
          <w:t>aide</w:t>
        </w:r>
      </w:hyperlink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 à la recherche d’</w:t>
      </w:r>
      <w:hyperlink r:id="rId14">
        <w:r>
          <w:rPr>
            <w:rStyle w:val="CollegamentoInternet"/>
            <w:rFonts w:eastAsia="Times New Roman" w:cs="Times New Roman" w:ascii="Times New Roman" w:hAnsi="Times New Roman"/>
            <w:i/>
            <w:iCs/>
            <w:color w:val="000000"/>
            <w:sz w:val="24"/>
            <w:szCs w:val="24"/>
            <w:u w:val="none"/>
            <w:lang w:val="fr-FR" w:eastAsia="it-IT"/>
          </w:rPr>
          <w:t>emploi</w:t>
        </w:r>
      </w:hyperlink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>, suivi individualisé, échanges internationaux, coaching… Et leur taux de placement est remarquable. »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>« Nous ne sommes pas si chers,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plaide également Jean-Michel Blanquer, directeur général de l’Essec (15 000 euros par an).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L’excellence a un coût, il est normal que celui-ci soit répercuté dans nos tarifs. Nos élèves vivent une expérience incomparable ; ils perçoivent à la sortie un salaire moyen de 54 000 euros. De plus, de nombreuses aides permettent aux plus modestes de financer leur scolarité. A l’Essec, plus de la moitié des élèves sont aidés. Et aucun candidat n’est empêché de nous </w:t>
      </w:r>
      <w:hyperlink r:id="rId15">
        <w:r>
          <w:rPr>
            <w:rStyle w:val="CollegamentoInternet"/>
            <w:rFonts w:eastAsia="Times New Roman" w:cs="Times New Roman" w:ascii="Times New Roman" w:hAnsi="Times New Roman"/>
            <w:i/>
            <w:iCs/>
            <w:color w:val="000000"/>
            <w:sz w:val="24"/>
            <w:szCs w:val="24"/>
            <w:u w:val="none"/>
            <w:lang w:val="fr-FR" w:eastAsia="it-IT"/>
          </w:rPr>
          <w:t>rejoindre</w:t>
        </w:r>
      </w:hyperlink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 pour des raisons financières. » « Nos écoles ne coûtent quasiment rien à l’Etat 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, ajoute de son côté Bernard Belletante, à la tête d’EM </w:t>
      </w:r>
      <w:hyperlink r:id="rId16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Lyon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>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« Pour les familles, c’est la double peine : elles paient à la fois des frais de scolarité et des </w:t>
        <w:softHyphen/>
      </w:r>
      <w:hyperlink r:id="rId17">
        <w:r>
          <w:rPr>
            <w:rStyle w:val="CollegamentoInternet"/>
            <w:rFonts w:eastAsia="Times New Roman" w:cs="Times New Roman" w:ascii="Times New Roman" w:hAnsi="Times New Roman"/>
            <w:i/>
            <w:iCs/>
            <w:color w:val="000000"/>
            <w:sz w:val="24"/>
            <w:szCs w:val="24"/>
            <w:u w:val="none"/>
            <w:lang w:val="fr-FR" w:eastAsia="it-IT"/>
          </w:rPr>
          <w:t>impôts</w:t>
        </w:r>
      </w:hyperlink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 qui servent pour partie à financer l’</w:t>
      </w:r>
      <w:hyperlink r:id="rId18">
        <w:r>
          <w:rPr>
            <w:rStyle w:val="CollegamentoInternet"/>
            <w:rFonts w:eastAsia="Times New Roman" w:cs="Times New Roman" w:ascii="Times New Roman" w:hAnsi="Times New Roman"/>
            <w:i/>
            <w:iCs/>
            <w:color w:val="000000"/>
            <w:sz w:val="24"/>
            <w:szCs w:val="24"/>
            <w:u w:val="none"/>
            <w:lang w:val="fr-FR" w:eastAsia="it-IT"/>
          </w:rPr>
          <w:t>enseignement supérieur</w:t>
        </w:r>
      </w:hyperlink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. 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Bruno Neil,directeur de l’Institut supérieur de commerce de </w:t>
      </w:r>
      <w:hyperlink r:id="rId19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Paris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(ISC)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Les directeurs regardent aussi la situation outre-Atlantique ou au </w:t>
      </w:r>
      <w:hyperlink r:id="rId20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Royaume-Uni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.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« Aux Etats-Unis, la moindre business school coûte entre 40 000 et 50 000 dollars par an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>(entre 36 000 et 45 000 euros)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note François Bonvalet, directeur général de </w:t>
      </w:r>
      <w:hyperlink r:id="rId21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Toulouse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Business School (TBS).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Alors qu’en </w:t>
      </w:r>
      <w:hyperlink r:id="rId22">
        <w:r>
          <w:rPr>
            <w:rStyle w:val="CollegamentoInternet"/>
            <w:rFonts w:eastAsia="Times New Roman" w:cs="Times New Roman" w:ascii="Times New Roman" w:hAnsi="Times New Roman"/>
            <w:i/>
            <w:iCs/>
            <w:color w:val="000000"/>
            <w:sz w:val="24"/>
            <w:szCs w:val="24"/>
            <w:u w:val="none"/>
            <w:lang w:val="fr-FR" w:eastAsia="it-IT"/>
          </w:rPr>
          <w:t>France</w:t>
        </w:r>
      </w:hyperlink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 il est difficile de </w:t>
      </w:r>
      <w:hyperlink r:id="rId23">
        <w:r>
          <w:rPr>
            <w:rStyle w:val="CollegamentoInternet"/>
            <w:rFonts w:eastAsia="Times New Roman" w:cs="Times New Roman" w:ascii="Times New Roman" w:hAnsi="Times New Roman"/>
            <w:i/>
            <w:iCs/>
            <w:color w:val="000000"/>
            <w:sz w:val="24"/>
            <w:szCs w:val="24"/>
            <w:u w:val="none"/>
            <w:lang w:val="fr-FR" w:eastAsia="it-IT"/>
          </w:rPr>
          <w:t>passer</w:t>
        </w:r>
      </w:hyperlink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 la barre des 12 000 euros. Mais ce n’est pas du tout le même marché… 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Pour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 w:bidi="ar-SA"/>
        </w:rPr>
        <w:t>le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directeur général d’Audencia,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« personne ne souhaite </w:t>
      </w:r>
      <w:hyperlink r:id="rId24">
        <w:r>
          <w:rPr>
            <w:rStyle w:val="CollegamentoInternet"/>
            <w:rFonts w:eastAsia="Times New Roman" w:cs="Times New Roman" w:ascii="Times New Roman" w:hAnsi="Times New Roman"/>
            <w:i/>
            <w:iCs/>
            <w:color w:val="000000"/>
            <w:sz w:val="24"/>
            <w:szCs w:val="24"/>
            <w:u w:val="none"/>
            <w:lang w:val="fr-FR" w:eastAsia="it-IT"/>
          </w:rPr>
          <w:t>arriver</w:t>
        </w:r>
      </w:hyperlink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 à la situation américaine, où les étudiants se retrouvent très endettés, avec un retour sur </w:t>
        <w:softHyphen/>
        <w:t>investissement improbable ».</w:t>
      </w:r>
    </w:p>
    <w:p>
      <w:pPr>
        <w:pStyle w:val="Normal"/>
        <w:spacing w:lineRule="auto" w:line="240" w:beforeAutospacing="1" w:afterAutospacing="1"/>
        <w:rPr>
          <w:u w:val="non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Compte tenu des contraintes (pressioni) financières croissantes auxquelles sont confrontées leur école, la plupart des directeurs jugent néanmoins inévitable la poursuite de la hausse.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>« La situation actuelle n’est plus tenable. Nous n’avons hélas pas d’autre possibilité »,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juge le directeur de l’Institut supérieur de commerce de Paris (ISC), Bruno Neil.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u w:val="none"/>
          <w:lang w:val="fr-FR" w:eastAsia="it-IT"/>
        </w:rPr>
        <w:t>Des dispositifs pour « amortir (smorzare) le choc »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Reste à </w:t>
      </w:r>
      <w:hyperlink r:id="rId25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savoir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jusqu’à quel niveau les écoles peuvent </w:t>
      </w:r>
      <w:hyperlink r:id="rId26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hisser</w:t>
        </w:r>
      </w:hyperlink>
      <w:r>
        <w:rPr>
          <w:rStyle w:val="CollegamentoInternet"/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(aumentare)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leurs tarifs, sans </w:t>
      </w:r>
      <w:hyperlink r:id="rId27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voir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les étudiants se </w:t>
      </w:r>
      <w:hyperlink r:id="rId28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détourner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d’elles (girare alla larga). Pour l’heure, même les fortes hausses observées ici ou là – comme à l’Edhec, passée en 2015 de 41 000 à 45 000 euros pour l’ensemble du cursus – n’ont pas suscité de désistements.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« Passer à 20 000 euros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>[annuels]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 dans les prochaines années serait choquant. Mais si les hausses restent raisonnables et si nous continuons à bien faire notre métier, les familles suivront,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veut </w:t>
      </w:r>
      <w:hyperlink r:id="rId29">
        <w:r>
          <w:rPr>
            <w:rStyle w:val="CollegamentoInternet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fr-FR" w:eastAsia="it-IT"/>
          </w:rPr>
          <w:t>croire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 Alice Guilhon.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none"/>
          <w:lang w:val="fr-FR" w:eastAsia="it-IT"/>
        </w:rPr>
        <w:t xml:space="preserve">En revanche, si les prestations ne sont pas à la hauteur, nous en supporterons les conséquences… 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Quelques-uns évoquent cependant des montants bien plus élevés : 70 000 euros sur trois ans, voire bien davantage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 xml:space="preserve">(molto di piu)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>pour les écoles leaders.</w:t>
      </w:r>
    </w:p>
    <w:p>
      <w:pPr>
        <w:pStyle w:val="Normal"/>
        <w:spacing w:lineRule="auto" w:line="240" w:beforeAutospacing="1" w:afterAutospacing="1"/>
        <w:rPr>
          <w:u w:val="non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  <w:t>Le plus vraisemblable, de l’avis unanime, est donc une poursuite des hausses (aumenti/rialzi) à un rythme modéré, légèrement supérieur à l’inflation, au moins pour le programme « grande école 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lang w:val="fr-FR"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lang w:val="fr-FR"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lang w:val="fr-FR"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lang w:val="fr-FR" w:eastAsia="it-I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fr-FR" w:eastAsia="it-IT"/>
        </w:rPr>
      </w:r>
    </w:p>
    <w:p>
      <w:pPr>
        <w:pStyle w:val="Normal"/>
        <w:jc w:val="center"/>
        <w:rPr>
          <w:u w:val="none"/>
        </w:rPr>
      </w:pPr>
      <w:r>
        <w:rPr>
          <w:b/>
          <w:bCs/>
          <w:u w:val="none"/>
        </w:rPr>
        <w:t>EXERCICES</w:t>
      </w:r>
    </w:p>
    <w:p>
      <w:pPr>
        <w:pStyle w:val="Normal"/>
        <w:jc w:val="center"/>
        <w:rPr>
          <w:u w:val="none"/>
        </w:rPr>
      </w:pPr>
      <w:r>
        <w:rPr/>
      </w:r>
    </w:p>
    <w:p>
      <w:pPr>
        <w:pStyle w:val="Normal"/>
        <w:jc w:val="left"/>
        <w:rPr>
          <w:u w:val="none"/>
        </w:rPr>
      </w:pPr>
      <w:r>
        <w:rPr>
          <w:b/>
          <w:bCs/>
          <w:u w:val="none"/>
        </w:rPr>
        <w:t>Q</w:t>
      </w:r>
      <w:r>
        <w:rPr>
          <w:b/>
          <w:bCs/>
          <w:u w:val="none"/>
        </w:rPr>
        <w:t>UESTIONS :</w:t>
      </w:r>
    </w:p>
    <w:p>
      <w:pPr>
        <w:pStyle w:val="Normal"/>
        <w:jc w:val="left"/>
        <w:rPr>
          <w:u w:val="none"/>
        </w:rPr>
      </w:pPr>
      <w:r>
        <w:rPr>
          <w:b/>
          <w:bCs/>
          <w:u w:val="none"/>
        </w:rPr>
        <w:t>1.  Quelles sont les possibilités d’augmenter les tarifs des Ecoles de Commerce en France ?</w:t>
      </w:r>
    </w:p>
    <w:p>
      <w:pPr>
        <w:pStyle w:val="Normal"/>
        <w:jc w:val="left"/>
        <w:rPr>
          <w:u w:val="none"/>
        </w:rPr>
      </w:pPr>
      <w:r>
        <w:rPr>
          <w:b/>
          <w:bCs/>
          <w:u w:val="none"/>
        </w:rPr>
        <w:t xml:space="preserve">            </w:t>
      </w:r>
      <w:r>
        <w:rPr>
          <w:b/>
          <w:bCs/>
          <w:u w:val="none"/>
        </w:rPr>
        <w:t>X Bonnes                                       X mauvaises                                   X réduites</w:t>
      </w:r>
    </w:p>
    <w:p>
      <w:pPr>
        <w:pStyle w:val="Normal"/>
        <w:jc w:val="left"/>
        <w:rPr>
          <w:u w:val="none"/>
        </w:rPr>
      </w:pPr>
      <w:r>
        <w:rPr>
          <w:b/>
          <w:bCs/>
          <w:u w:val="none"/>
        </w:rPr>
        <w:t>2.  La hausse des tarifs est -elle dictée par la recherche de meilleurs profits? Les éléments de réponse se trouvent dans le texte :</w:t>
      </w:r>
    </w:p>
    <w:p>
      <w:pPr>
        <w:pStyle w:val="Normal"/>
        <w:jc w:val="left"/>
        <w:rPr>
          <w:u w:val="none"/>
        </w:rPr>
      </w:pPr>
      <w:r>
        <w:rPr>
          <w:b/>
          <w:bCs/>
          <w:u w:val="none"/>
        </w:rPr>
        <w:tab/>
        <w:t>__________________________________________________________________________ ________________________________________________________________________________</w:t>
      </w:r>
    </w:p>
    <w:p>
      <w:pPr>
        <w:pStyle w:val="Normal"/>
        <w:rPr>
          <w:u w:val="none"/>
        </w:rPr>
      </w:pPr>
      <w:r>
        <w:rPr/>
      </w:r>
    </w:p>
    <w:p>
      <w:pPr>
        <w:pStyle w:val="Normal"/>
        <w:rPr>
          <w:u w:val="none"/>
        </w:rPr>
      </w:pPr>
      <w:r>
        <w:rPr>
          <w:b/>
          <w:bCs/>
          <w:u w:val="none"/>
        </w:rPr>
        <w:t>AFFIRMATIONS</w:t>
      </w:r>
    </w:p>
    <w:tbl>
      <w:tblPr>
        <w:tblW w:w="9645" w:type="dxa"/>
        <w:jc w:val="left"/>
        <w:tblInd w:w="50" w:type="dxa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7363"/>
        <w:gridCol w:w="795"/>
        <w:gridCol w:w="797"/>
        <w:gridCol w:w="689"/>
      </w:tblGrid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  <w:t>Vrai</w:t>
            </w:r>
          </w:p>
        </w:tc>
        <w:tc>
          <w:tcPr>
            <w:tcW w:w="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  <w:t>Faux</w:t>
            </w:r>
          </w:p>
        </w:tc>
        <w:tc>
          <w:tcPr>
            <w:tcW w:w="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  <w:t>ONSP*</w:t>
            </w:r>
          </w:p>
        </w:tc>
      </w:tr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  <w:t>La hausse des frais de scolarité va se poursuivre à un rythme élevé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</w:tr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  <w:t>Les familles des étudiants du privé continuent à financer le système universitaire public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</w:tr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  <w:t>Tous les enfants d’une famille peuvent bénéficier des avantages d’une business School privée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</w:tr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  <w:t xml:space="preserve">Les étudiants </w:t>
            </w:r>
            <w:r>
              <w:rPr>
                <w:u w:val="none"/>
              </w:rPr>
              <w:t xml:space="preserve">français </w:t>
            </w:r>
            <w:r>
              <w:rPr>
                <w:u w:val="none"/>
              </w:rPr>
              <w:t xml:space="preserve">en </w:t>
            </w:r>
            <w:r>
              <w:rPr>
                <w:u w:val="none"/>
              </w:rPr>
              <w:t>Ecoles de Commerce</w:t>
            </w:r>
            <w:r>
              <w:rPr>
                <w:u w:val="none"/>
              </w:rPr>
              <w:t xml:space="preserve"> sont surendettés comme leurs homologues américains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</w:tr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  <w:t xml:space="preserve">La hausse des frais de scolarité des  </w:t>
            </w:r>
            <w:r>
              <w:rPr>
                <w:u w:val="none"/>
              </w:rPr>
              <w:t>Ecoles de Commerce</w:t>
            </w:r>
            <w:r>
              <w:rPr>
                <w:u w:val="none"/>
              </w:rPr>
              <w:t xml:space="preserve"> est en-dessous de l’inflation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</w:tr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  <w:t>En dix ans les tarifs ont augmenté de plus de 100%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</w:tr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  <w:t>Le maximum socialement acceptable est encore loin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</w:tr>
      <w:tr>
        <w:trPr/>
        <w:tc>
          <w:tcPr>
            <w:tcW w:w="7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  <w:t>Le taux de placement vaut l’investissement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  <w:tc>
          <w:tcPr>
            <w:tcW w:w="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u w:val="none"/>
              </w:rPr>
            </w:pPr>
            <w:r>
              <w:rPr>
                <w:u w:val="none"/>
              </w:rPr>
            </w:r>
          </w:p>
        </w:tc>
      </w:tr>
    </w:tbl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>
          <w:u w:val="none"/>
        </w:rPr>
      </w:pPr>
      <w:r>
        <w:rPr>
          <w:b/>
          <w:bCs/>
          <w:u w:val="none"/>
        </w:rPr>
        <w:t>Synonymes</w:t>
      </w:r>
      <w:r>
        <w:rPr>
          <w:u w:val="none"/>
        </w:rPr>
        <w:t xml:space="preserve"> :</w:t>
      </w:r>
    </w:p>
    <w:p>
      <w:pPr>
        <w:pStyle w:val="Normal"/>
        <w:jc w:val="left"/>
        <w:rPr>
          <w:u w:val="none"/>
        </w:rPr>
      </w:pPr>
      <w:r>
        <w:rPr>
          <w:u w:val="none"/>
        </w:rPr>
        <w:t>annullations :</w:t>
        <w:tab/>
        <w:tab/>
        <w:tab/>
        <w:tab/>
        <w:tab/>
        <w:tab/>
        <w:t>augmentation :</w:t>
      </w:r>
    </w:p>
    <w:p>
      <w:pPr>
        <w:pStyle w:val="Normal"/>
        <w:jc w:val="left"/>
        <w:rPr>
          <w:u w:val="none"/>
        </w:rPr>
      </w:pPr>
      <w:r>
        <w:rPr>
          <w:u w:val="none"/>
        </w:rPr>
        <w:t xml:space="preserve">handicap redoublé : </w:t>
        <w:tab/>
        <w:tab/>
        <w:tab/>
        <w:tab/>
        <w:tab/>
        <w:t>continuer :</w:t>
      </w:r>
    </w:p>
    <w:p>
      <w:pPr>
        <w:pStyle w:val="Normal"/>
        <w:jc w:val="left"/>
        <w:rPr>
          <w:u w:val="none"/>
        </w:rPr>
      </w:pPr>
      <w:r>
        <w:rPr/>
      </w:r>
    </w:p>
    <w:p>
      <w:pPr>
        <w:pStyle w:val="Normal"/>
        <w:jc w:val="left"/>
        <w:rPr>
          <w:u w:val="none"/>
        </w:rPr>
      </w:pPr>
      <w:r>
        <w:rPr>
          <w:b/>
          <w:bCs/>
          <w:u w:val="none"/>
        </w:rPr>
        <w:t xml:space="preserve">Relier les mots qui ont un lien logique en vous appuyant sur le texte . 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Excellence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Retour sur Investissement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Désistement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Hausse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</w:t>
            </w:r>
          </w:p>
        </w:tc>
      </w:tr>
      <w:tr>
        <w:trPr>
          <w:trHeight w:val="342" w:hRule="atLeast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Prestations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Métier bien fait</w:t>
            </w:r>
          </w:p>
        </w:tc>
      </w:tr>
    </w:tbl>
    <w:p>
      <w:pPr>
        <w:pStyle w:val="Normal"/>
        <w:jc w:val="left"/>
        <w:rPr>
          <w:u w:val="none"/>
        </w:rPr>
      </w:pPr>
      <w:r>
        <w:rPr/>
      </w:r>
    </w:p>
    <w:p>
      <w:pPr>
        <w:pStyle w:val="Normal"/>
        <w:jc w:val="center"/>
        <w:rPr>
          <w:u w:val="none"/>
        </w:rPr>
      </w:pPr>
      <w:r>
        <w:rPr>
          <w:b/>
          <w:bCs/>
          <w:sz w:val="28"/>
          <w:szCs w:val="28"/>
          <w:u w:val="none"/>
        </w:rPr>
        <w:t>Texte de Closure</w:t>
      </w:r>
    </w:p>
    <w:p>
      <w:pPr>
        <w:pStyle w:val="Normal"/>
        <w:jc w:val="center"/>
        <w:rPr>
          <w:u w:val="none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u w:val="none"/>
        </w:rPr>
        <w:t>La technique de closure</w:t>
      </w:r>
      <w:r>
        <w:rPr>
          <w:b/>
          <w:bCs/>
          <w:caps w:val="false"/>
          <w:smallCaps w:val="false"/>
          <w:color w:val="222222"/>
          <w:spacing w:val="0"/>
          <w:sz w:val="24"/>
          <w:szCs w:val="24"/>
          <w:u w:val="none"/>
        </w:rPr>
        <w:t> </w:t>
      </w: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u w:val="none"/>
        </w:rPr>
        <w:t>consiste à remplacer certains mots d'un texte</w:t>
      </w:r>
      <w:r>
        <w:rPr>
          <w:b/>
          <w:bCs/>
          <w:caps w:val="false"/>
          <w:smallCaps w:val="false"/>
          <w:color w:val="222222"/>
          <w:spacing w:val="0"/>
          <w:sz w:val="24"/>
          <w:szCs w:val="24"/>
          <w:u w:val="none"/>
        </w:rPr>
        <w:t> </w:t>
      </w:r>
      <w:r>
        <w:rPr>
          <w:rFonts w:ascii="arial;sans-serif" w:hAnsi="arial;sans-serif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u w:val="none"/>
        </w:rPr>
        <w:t>par des lacunes. Les étudiants doivent insérer les mots figurant à la fin du texte en prenant en considération le contexte grammatical et sémantique et en se basant sur leur connaissance du sujet.</w:t>
      </w:r>
      <w:r>
        <w:rPr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jc w:val="center"/>
        <w:rPr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u w:val="none"/>
        </w:rPr>
        <w:tab/>
        <w:tab/>
        <w:tab/>
        <w:t xml:space="preserve">Etudes de commerce : prêt pour le prêt </w:t>
      </w:r>
      <w:r>
        <w:rPr>
          <w:b/>
          <w:bCs/>
          <w:sz w:val="28"/>
          <w:szCs w:val="28"/>
          <w:u w:val="none"/>
        </w:rPr>
        <w:t>(</w:t>
      </w:r>
      <w:r>
        <w:rPr>
          <w:b/>
          <w:bCs/>
          <w:i/>
          <w:iCs/>
          <w:sz w:val="28"/>
          <w:szCs w:val="28"/>
          <w:u w:val="none"/>
        </w:rPr>
        <w:t>prestito</w:t>
      </w:r>
      <w:r>
        <w:rPr>
          <w:b/>
          <w:bCs/>
          <w:sz w:val="28"/>
          <w:szCs w:val="28"/>
          <w:u w:val="none"/>
        </w:rPr>
        <w:t>)</w:t>
      </w:r>
      <w:r>
        <w:rPr>
          <w:b/>
          <w:bCs/>
          <w:sz w:val="28"/>
          <w:szCs w:val="28"/>
          <w:u w:val="none"/>
        </w:rPr>
        <w:t xml:space="preserve"> ?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Pour financer (1)_______ études, Jean-Charles Stragier, Sabrina Bouzourene et Clémence </w:t>
        <w:softHyphen/>
        <w:t xml:space="preserve">Labrunie ont (2)_______ les trois </w:t>
        <w:softHyphen/>
        <w:t xml:space="preserve">contracté un prêt étudiant. Jean-Charles a emprunté 19 000 euros : « 16 000 euros pour mon master 2 à Skema et 3 000 euros pour le logement. » Pour financer l’ESC Dijon, </w:t>
        <w:softHyphen/>
        <w:t xml:space="preserve">Sabrina avait elle aussi sollicité un prêt : « J’ai </w:t>
        <w:softHyphen/>
        <w:t xml:space="preserve">aussi obtenu une bourse au mérite qui prenait en charge les 21 000 euros de frais. J’ai donc conservé 12 000 euros de prêt pour le logement, </w:t>
        <w:softHyphen/>
        <w:t xml:space="preserve">le permis, l’ordinateur, pouvoir partir en Erasmus… » Enfin, pour son master à l’ESCP </w:t>
        <w:softHyphen/>
        <w:t xml:space="preserve">Europe, </w:t>
        <w:softHyphen/>
        <w:t>Clémence a demandé 40 000 euros, « 22 000 euros pour l’école, 18 000 euros pour les frais annexes ».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A présent tous les trois salariés, ils reconnaissent que le prêt a (3)_______ une </w:t>
        <w:softHyphen/>
        <w:t xml:space="preserve">incidence sur leur entrée dans le monde du travail. L’emprunt doit, en effet, (4)_______ soldé au (5)_______ de cinq ans. « Dans ma </w:t>
        <w:softHyphen/>
        <w:t>recherche d’emploi, j’ai fait des tris par niveau de salaire, reconnaît Jean-Charles, qui rembourse 375 euros par mois. J’ai par ailleurs (6)_______ l’éventualité de partir travailler à Paris… »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Epée de Damoclès ou coup d’aiguillon (stimolo) ?</w:t>
      </w:r>
    </w:p>
    <w:p>
      <w:pPr>
        <w:pStyle w:val="Normal"/>
        <w:jc w:val="both"/>
        <w:rPr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Sabrina, elle, a demandé un </w:t>
        <w:softHyphen/>
        <w:t xml:space="preserve">report du remboursement – 238 euros mensuels – d’un an. Trouvant difficilement un emploi dans son secteur – le management </w:t>
        <w:softHyphen/>
        <w:t xml:space="preserve">culturel –, elle a vu l’échéance </w:t>
        <w:softHyphen/>
        <w:t>arriver avec anxiété . « J’ai accumulé des petits boulots (lavoretti) : vendeuse, serveuse, et j’ai même travaillé au service comptabilité d’une compagnie de taxis ! » Aujourd’hui en CDI (7)_______ un an, elle respire : « J’(8)_______ fini de payer en 2018. » Clémence elle aussi a demandé un report. Elle ne remboursera 700 euros par mois qu’à partir de 2019. Mais, « assez angoissée », elle commence déjà à mettre de l’argent de côté. « Cet emprunt m’a donné des ailes et me les a (9)_______ en même temps », analyse-t-elle.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 xml:space="preserve">Le prêt étudiant serait-il une épée de Damoclès ? Jean-Charles (10)_______ voit un salutaire coup d’aiguillon (stimolo) : « Oui, il existe une pression, mais à 25 ans, je me sens très responsabilisé. » Clémence </w:t>
        <w:softHyphen/>
        <w:t xml:space="preserve">estime même que l’emprunt a dopé ses ambitions : « Je ne </w:t>
        <w:softHyphen/>
        <w:t>serais peut-être pas (11)_______ chercher mon poste actuel si je n’avais pas eu ce coup de pression… »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allée (andata)  aurai (avrò)  bout (termine - estremità)  coupées (tagliate)  depuis   (da) éliminé (eliminato - cancellato)  être   eu (avuto)  leurs (loro)   tous (tutti)   y (ci)</w:t>
      </w:r>
    </w:p>
    <w:p>
      <w:pPr>
        <w:pStyle w:val="Normal"/>
        <w:spacing w:before="0" w:after="160"/>
        <w:jc w:val="both"/>
        <w:rPr>
          <w:b w:val="false"/>
          <w:b w:val="false"/>
          <w:bCs w:val="false"/>
          <w:sz w:val="21"/>
          <w:szCs w:val="21"/>
        </w:rPr>
      </w:pPr>
      <w:r>
        <w:rPr/>
      </w:r>
    </w:p>
    <w:sectPr>
      <w:headerReference w:type="default" r:id="rId30"/>
      <w:type w:val="nextPage"/>
      <w:pgSz w:w="11906" w:h="16838"/>
      <w:pgMar w:left="1134" w:right="1134" w:header="1417" w:top="196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0" w:after="160"/>
      <w:jc w:val="center"/>
      <w:rPr/>
    </w:pPr>
    <w:r>
      <w:rPr/>
      <w:t>Dott. Henrard   patrick.henrard@unimib.it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principale"/>
    <w:qFormat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nutotabella">
    <w:name w:val="Contenuto tabella"/>
    <w:basedOn w:val="Normal"/>
    <w:qFormat/>
    <w:pPr/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http://www.lemonde.fr/management/" TargetMode="External"/><Relationship Id="rId4" Type="http://schemas.openxmlformats.org/officeDocument/2006/relationships/hyperlink" Target="http://conjugaison.lemonde.fr/conjugaison/auxiliaire/&#234;tre/" TargetMode="External"/><Relationship Id="rId5" Type="http://schemas.openxmlformats.org/officeDocument/2006/relationships/hyperlink" Target="http://conjugaison.lemonde.fr/conjugaison/troisieme-groupe/conduire/" TargetMode="External"/><Relationship Id="rId6" Type="http://schemas.openxmlformats.org/officeDocument/2006/relationships/hyperlink" Target="http://www.lemonde.fr/contexte/" TargetMode="External"/><Relationship Id="rId7" Type="http://schemas.openxmlformats.org/officeDocument/2006/relationships/hyperlink" Target="http://conjugaison.lemonde.fr/conjugaison/premier-groupe/payer/" TargetMode="External"/><Relationship Id="rId8" Type="http://schemas.openxmlformats.org/officeDocument/2006/relationships/hyperlink" Target="http://conjugaison.lemonde.fr/conjugaison/premier-groupe/parler/" TargetMode="External"/><Relationship Id="rId9" Type="http://schemas.openxmlformats.org/officeDocument/2006/relationships/hyperlink" Target="http://www.lemonde.fr/logement/" TargetMode="External"/><Relationship Id="rId10" Type="http://schemas.openxmlformats.org/officeDocument/2006/relationships/hyperlink" Target="http://conjugaison.lemonde.fr/conjugaison/deuxieme-groupe/fournir/" TargetMode="External"/><Relationship Id="rId11" Type="http://schemas.openxmlformats.org/officeDocument/2006/relationships/hyperlink" Target="http://conjugaison.lemonde.fr/conjugaison/premier-groupe/financer/" TargetMode="External"/><Relationship Id="rId12" Type="http://schemas.openxmlformats.org/officeDocument/2006/relationships/hyperlink" Target="http://conjugaison.lemonde.fr/conjugaison/premier-groupe/relativiser/" TargetMode="External"/><Relationship Id="rId13" Type="http://schemas.openxmlformats.org/officeDocument/2006/relationships/hyperlink" Target="http://www.lemonde.fr/services-aux-internautes/" TargetMode="External"/><Relationship Id="rId14" Type="http://schemas.openxmlformats.org/officeDocument/2006/relationships/hyperlink" Target="http://www.lemonde.fr/emploi/" TargetMode="External"/><Relationship Id="rId15" Type="http://schemas.openxmlformats.org/officeDocument/2006/relationships/hyperlink" Target="http://conjugaison.lemonde.fr/conjugaison/troisieme-groupe/rejoindre/" TargetMode="External"/><Relationship Id="rId16" Type="http://schemas.openxmlformats.org/officeDocument/2006/relationships/hyperlink" Target="http://www.lemonde.fr/lyon/" TargetMode="External"/><Relationship Id="rId17" Type="http://schemas.openxmlformats.org/officeDocument/2006/relationships/hyperlink" Target="http://www.lemonde.fr/impots/" TargetMode="External"/><Relationship Id="rId18" Type="http://schemas.openxmlformats.org/officeDocument/2006/relationships/hyperlink" Target="http://www.lemonde.fr/enseignement-superieur/" TargetMode="External"/><Relationship Id="rId19" Type="http://schemas.openxmlformats.org/officeDocument/2006/relationships/hyperlink" Target="http://www.lemonde.fr/paris/" TargetMode="External"/><Relationship Id="rId20" Type="http://schemas.openxmlformats.org/officeDocument/2006/relationships/hyperlink" Target="http://www.lemonde.fr/royaume-uni/" TargetMode="External"/><Relationship Id="rId21" Type="http://schemas.openxmlformats.org/officeDocument/2006/relationships/hyperlink" Target="http://www.lemonde.fr/toulouse/" TargetMode="External"/><Relationship Id="rId22" Type="http://schemas.openxmlformats.org/officeDocument/2006/relationships/hyperlink" Target="http://www.lemonde.fr/europeennes-france/" TargetMode="External"/><Relationship Id="rId23" Type="http://schemas.openxmlformats.org/officeDocument/2006/relationships/hyperlink" Target="http://conjugaison.lemonde.fr/conjugaison/premier-groupe/passer/" TargetMode="External"/><Relationship Id="rId24" Type="http://schemas.openxmlformats.org/officeDocument/2006/relationships/hyperlink" Target="http://conjugaison.lemonde.fr/conjugaison/premier-groupe/arriver/" TargetMode="External"/><Relationship Id="rId25" Type="http://schemas.openxmlformats.org/officeDocument/2006/relationships/hyperlink" Target="http://conjugaison.lemonde.fr/conjugaison/troisieme-groupe/savoir/" TargetMode="External"/><Relationship Id="rId26" Type="http://schemas.openxmlformats.org/officeDocument/2006/relationships/hyperlink" Target="http://conjugaison.lemonde.fr/conjugaison/premier-groupe/hisser/" TargetMode="External"/><Relationship Id="rId27" Type="http://schemas.openxmlformats.org/officeDocument/2006/relationships/hyperlink" Target="http://conjugaison.lemonde.fr/conjugaison/troisieme-groupe/voir/" TargetMode="External"/><Relationship Id="rId28" Type="http://schemas.openxmlformats.org/officeDocument/2006/relationships/hyperlink" Target="http://conjugaison.lemonde.fr/conjugaison/premier-groupe/d&#233;tourner/" TargetMode="External"/><Relationship Id="rId29" Type="http://schemas.openxmlformats.org/officeDocument/2006/relationships/hyperlink" Target="http://conjugaison.lemonde.fr/conjugaison/troisieme-groupe/croire/" TargetMode="External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LibreOffice/6.4.0.3$Windows_X86_64 LibreOffice_project/b0a288ab3d2d4774cb44b62f04d5d28733ac6df8</Application>
  <Pages>5</Pages>
  <Words>1570</Words>
  <Characters>8161</Characters>
  <CharactersWithSpaces>9798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2016-11-16T10:37:00Z</dcterms:created>
  <dc:creator>patrick christian henrard</dc:creator>
  <dc:description/>
  <dc:language>it-IT</dc:language>
  <cp:lastModifiedBy/>
  <dcterms:modified xsi:type="dcterms:W3CDTF">2020-03-14T11:46:13Z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