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240" w:after="120"/>
        <w:jc w:val="center"/>
        <w:rPr/>
      </w:pPr>
      <w:r>
        <w:rPr>
          <w:rFonts w:ascii="Arial" w:hAnsi="Arial"/>
          <w:color w:val="222222"/>
          <w:spacing w:val="-15"/>
          <w:sz w:val="45"/>
          <w:lang w:val="fr-FR"/>
        </w:rPr>
        <w:t>Texte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4 : </w:t>
      </w:r>
      <w:r>
        <w:rPr>
          <w:rFonts w:ascii="Arial" w:hAnsi="Arial"/>
          <w:color w:val="222222"/>
          <w:spacing w:val="-15"/>
          <w:sz w:val="45"/>
          <w:lang w:val="fr-FR"/>
        </w:rPr>
        <w:t>Close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ascii="Arial" w:hAnsi="Arial"/>
          <w:color w:val="222222"/>
          <w:spacing w:val="-15"/>
          <w:sz w:val="45"/>
          <w:lang w:val="fr-FR"/>
        </w:rPr>
        <w:t>test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 2– </w:t>
      </w:r>
      <w:r>
        <w:rPr>
          <w:rFonts w:ascii="Arial" w:hAnsi="Arial"/>
          <w:color w:val="222222"/>
          <w:spacing w:val="-15"/>
          <w:sz w:val="45"/>
          <w:lang w:val="fr-FR"/>
        </w:rPr>
        <w:t>L</w:t>
      </w:r>
      <w:r>
        <w:rPr>
          <w:rFonts w:ascii="Arial" w:hAnsi="Arial"/>
          <w:color w:val="222222"/>
          <w:spacing w:val="-15"/>
          <w:sz w:val="45"/>
          <w:lang w:val="fr-FR"/>
        </w:rPr>
        <w:t>ingua francese (6 ects)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/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2° SEM  Lezione del 24 Marzo 2020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Le Télétravail à l'époque du Coronavirus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CORRIGE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En théorie, le télétravail apporte flexibilité et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liberté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 au salarié, il est plus écologique, en abolissant les déplacements, et colle au désir d’autonomie de générations converties aux réseaux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sociaux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 de masse. De plus, le développement du commerce en ligne banalise les relations marchandes dématérialisées. On peut donc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imaginer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 une vraie rupture dans la transformation du travail.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Reviendrons-nous sagement au bureau quand la tempête sera passée ? Nous serons en tout cas collectivement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transformés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 par l’expérience. Après tout, elle s’inscrit dans la longue tendance, mise à jour par les sociologues depuis le début du XXe siècle, à l’individualisation de la société.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>Isolement et désocialisation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Le télétravail comporte néanmoins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quelques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 limites. D’abord, sa dépendance évidente aux technologies de l’information et au risque accru de piratage et de fraude. Même si l’invasion du numérique expose désormais à ce risque toutes les entreprises, télétravail ou pas.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Celui-ci va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également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 renforcer une autre grande tendance du travail au XXIe siècle,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celle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 de la confusion entre vie professionnelle et vie privée. Une perméabilité déjà si visible avec les réseaux sociaux.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rFonts w:ascii="Arial" w:hAnsi="Arial" w:eastAsia="Times New Roman" w:cs="Arial"/>
          <w:b/>
          <w:b/>
          <w:bCs/>
          <w:color w:val="000000"/>
          <w:kern w:val="0"/>
          <w:sz w:val="24"/>
          <w:szCs w:val="24"/>
          <w:lang w:val="fr-FR" w:eastAsia="it-IT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Enfin, travailler à la maison porte le risque de l’isolement du salarié et de sa désocialisation, du moins par rapport à son groupe. Le collectif,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celui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 qui dans l’entreprise se construit aussi à la machine à café et dans les rencontres de couloir, va-t-il se dissoudre dans le cyberespace et les réunions Skype ? Le risque est réel et explique en grande partie le succès mitigé de cette pratique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 xml:space="preserve">dont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on parle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it-IT" w:bidi="ar-SA"/>
        </w:rPr>
        <w:t>depuis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lang w:val="fr-FR" w:eastAsia="it-IT" w:bidi="ar-SA"/>
        </w:rPr>
        <w:t xml:space="preserve"> plus de trente ans. Il porte en germe la bascule de l’individualisation à l’individualisme.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187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bidi w:val="0"/>
      <w:jc w:val="center"/>
      <w:rPr>
        <w:sz w:val="20"/>
        <w:szCs w:val="20"/>
      </w:rPr>
    </w:pPr>
    <w:r>
      <w:rPr>
        <w:sz w:val="20"/>
        <w:szCs w:val="20"/>
      </w:rPr>
      <w:t>"Nella vita possono toglierti tutto, ma non quello che hai imparato studiando. Ecco perché non dovrai mai smettere di studiare e migliorarti". G. Cartabellotta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jc w:val="center"/>
      <w:rPr/>
    </w:pPr>
    <w:r>
      <w:rPr/>
      <w:t xml:space="preserve"> </w:t>
    </w:r>
    <w:r>
      <w:rPr/>
      <w:t>Dott. Patrick Henrard (patrick.henrard@unimib.it)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LibreOffice/6.4.0.3$Windows_X86_64 LibreOffice_project/b0a288ab3d2d4774cb44b62f04d5d28733ac6df8</Application>
  <Pages>1</Pages>
  <Words>315</Words>
  <Characters>1726</Characters>
  <CharactersWithSpaces>2033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2020-03-21T17:07:43Z</dcterms:created>
  <dc:creator/>
  <dc:description/>
  <dc:language>it-IT</dc:language>
  <cp:lastModifiedBy/>
  <dcterms:modified xsi:type="dcterms:W3CDTF">2020-03-21T17:10:45Z</dcterms:modified>
  <cp:revision>1</cp:revision>
  <dc:subject/>
  <dc:title/>
</cp:coreProperties>
</file>