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2° SEM  Lezione del 07 aprile 2020 - CORRIGE</w:t>
      </w:r>
    </w:p>
    <w:p>
      <w:pPr>
        <w:pStyle w:val="Titolo3"/>
        <w:bidi w:val="0"/>
        <w:jc w:val="left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1E3948"/>
          <w:spacing w:val="0"/>
          <w:sz w:val="36"/>
        </w:rPr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it-IT" w:eastAsia="zh-CN" w:bidi="hi-IN"/>
        </w:rPr>
        <w:t>Le premier voyage humain vers Mars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it-IT" w:eastAsia="zh-CN" w:bidi="hi-IN"/>
        </w:rPr>
        <w:t>Le Monde – Les décodeurs</w:t>
      </w:r>
    </w:p>
    <w:p>
      <w:pPr>
        <w:pStyle w:val="Normal"/>
        <w:bidi w:val="0"/>
        <w:jc w:val="left"/>
        <w:rPr/>
      </w:pPr>
      <w:r>
        <w:rPr>
          <w:rStyle w:val="CollegamentoInternet"/>
        </w:rPr>
        <w:t>https://www.youtube.com/watch?v=fvohQ1Wqk1g&amp;feature=youtu.be&amp;list=PLFuK0VAIne9IOBPFXZW9arEwYhbf2KaY_&amp;t=406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b/>
          <w:bCs/>
          <w:sz w:val="24"/>
          <w:szCs w:val="24"/>
          <w:lang w:val="fr-FR"/>
        </w:rPr>
        <w:t>en activant le sous-titrage automatisé français</w:t>
      </w:r>
      <w:r>
        <w:rPr>
          <w:sz w:val="24"/>
          <w:szCs w:val="24"/>
          <w:lang w:val="fr-FR"/>
        </w:rPr>
        <w:t xml:space="preserve"> et pour chacune des questions cerclez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La distance de la Terre à la planète Rouge pour les auteurs de cette vidéo est de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400  000 kms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1 000 000 de kms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40  000 000 de kms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76 000 000 de kms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Quels sont les rayons qui ne sont pas cités dans la vidéo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6"/>
        <w:gridCol w:w="2319"/>
        <w:gridCol w:w="2906"/>
        <w:gridCol w:w="2103"/>
      </w:tblGrid>
      <w:tr>
        <w:trPr/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/>
              <w:t>Particules solaires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Rayons gamma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Rayons ionisants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Rayons cosmiques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Ce rayonnement est dommageable pour les êtres humains. Qu’est-ce qu’il ne provoque pas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Vieillissement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Dégénérescence neuronale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Infarctus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 xml:space="preserve">La dose de rayonnement maximum pour un humain est de </w:t>
      </w:r>
      <w:r>
        <w:rPr>
          <w:sz w:val="24"/>
          <w:szCs w:val="24"/>
          <w:lang w:val="fr-FR"/>
        </w:rPr>
        <w:t xml:space="preserve"> : 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7"/>
        <w:gridCol w:w="2129"/>
        <w:gridCol w:w="2411"/>
        <w:gridCol w:w="2407"/>
      </w:tblGrid>
      <w:tr>
        <w:trPr>
          <w:trHeight w:val="95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millisievert/an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100 millisiviert/mission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millisievert/5 ans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millisievert/an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5. Parmi les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solutions listées ici pour protéger les astronautes, quelle est celle qui manque?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4"/>
        <w:gridCol w:w="1170"/>
        <w:gridCol w:w="1366"/>
        <w:gridCol w:w="1409"/>
        <w:gridCol w:w="916"/>
        <w:gridCol w:w="1245"/>
        <w:gridCol w:w="1934"/>
      </w:tblGrid>
      <w:tr>
        <w:trPr/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polyéthylène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Excréments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palladium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hydrogène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plomb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Détritus organiques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6. En Impesanteur (ou apesanteur)  la masse osseuse diminue de combien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30%/voyage vers Mars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12%/an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1%/mois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5%/6mois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7. Le corps humain n’est pas fait pour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marcher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nager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flotter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courir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8. Pour éviter ce problème, on peut techniquement recréer la gravité avec 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1"/>
        <w:gridCol w:w="2407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la force centri</w:t>
            </w:r>
            <w:r>
              <w:rPr/>
              <w:t>p</w:t>
            </w:r>
            <w:r>
              <w:rPr/>
              <w:t>ète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La force centrifuge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lang w:val="fr-FR"/>
              </w:rPr>
              <w:t>La force magnétique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La force mentale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9. Quel est le meilleur synonyme du verbe « déguster » employé dans le commentaire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927"/>
        <w:gridCol w:w="1928"/>
        <w:gridCol w:w="1928"/>
      </w:tblGrid>
      <w:tr>
        <w:trPr>
          <w:trHeight w:val="510" w:hRule="atLeast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goûter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subir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savourer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recevoir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jouir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 xml:space="preserve">10.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Intervalle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 xml:space="preserve"> : à 6 mn 40 sec, un insert humoristique montre la photo d’un homme avec l’hashtag #free Patoche. 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s’agit d’un homme politique français condamné pour corruption et détournement de fonds publics. Seul le public français peut comprendre cette allusion.</w:t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11. « En cas de pépin » : le mot « pépin » signifie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Un imprévu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Un incident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Un accident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it-IT" w:eastAsia="zh-CN" w:bidi="hi-IN"/>
              </w:rPr>
              <w:t>Une malédiction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  <w:t>12.  La Nasa a identifié 30 risques à surmonter pour réaliser un voyage humain vers Mars. Pour cela elle compte étudier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4"/>
        <w:gridCol w:w="3072"/>
        <w:gridCol w:w="3072"/>
      </w:tblGrid>
      <w:tr>
        <w:trPr>
          <w:trHeight w:val="450" w:hRule="atLeast"/>
        </w:trPr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1100 tâches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1097  tâches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1133 tâches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  <w:t>13.  Mis à part la Nasa, le commentateur a cité une entreprise privée qui veut envoyer un vaisseau vers Mars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Tesla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Virgin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Blue Origin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Space X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  <w:t>14. La date du premier lancement habité vers Mars  sera fixé</w:t>
      </w:r>
      <w:r>
        <w:rPr/>
        <w:t>e</w:t>
      </w:r>
      <w:r>
        <w:rPr/>
        <w:t xml:space="preserve"> principalement en fonction de quoi?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 xml:space="preserve"> </w:t>
            </w:r>
            <w:r>
              <w:rPr/>
              <w:t>Niveau technologique du lanceur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Niveau des risques courus par les astronautes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Niveau de la compétion entre les entreprises privées et la Nasa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/>
            </w:pPr>
            <w:r>
              <w:rPr/>
              <w:t>Niveau de la préparation scientifique des expérience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4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  <w:font w:name="Segoe UI">
    <w:altName w:val="Tahom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Dott. Patrick Henrard (</w:t>
    </w:r>
    <w:r>
      <w:rPr>
        <w:i/>
        <w:iCs/>
        <w:sz w:val="20"/>
        <w:szCs w:val="20"/>
      </w:rPr>
      <w:t>patrick.henrard@unimib.it</w:t>
    </w:r>
    <w:r>
      <w:rPr>
        <w:sz w:val="20"/>
        <w:szCs w:val="20"/>
      </w:rPr>
      <w:t>)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LibreOffice/6.4.0.3$Windows_X86_64 LibreOffice_project/b0a288ab3d2d4774cb44b62f04d5d28733ac6df8</Application>
  <Pages>2</Pages>
  <Words>415</Words>
  <Characters>2202</Characters>
  <CharactersWithSpaces>2567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2020-03-28T19:33:04Z</dcterms:created>
  <dc:creator/>
  <dc:description/>
  <dc:language>it-IT</dc:language>
  <cp:lastModifiedBy/>
  <dcterms:modified xsi:type="dcterms:W3CDTF">2020-04-04T23:10:41Z</dcterms:modified>
  <cp:revision>6</cp:revision>
  <dc:subject/>
  <dc:title/>
</cp:coreProperties>
</file>