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21 aprile 2020 </w:t>
      </w:r>
    </w:p>
    <w:p>
      <w:pPr>
        <w:pStyle w:val="Titolo1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L'impact de la viande sur l'environnement expliqué en 4 minutes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Les Décodeurs – Le Monde – 28 avril 2015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CollegamentoInternet"/>
          <w:lang w:val="fr-FR"/>
        </w:rPr>
        <w:t>https://youtu.be/nVydgG2DFU0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Questionnaire sur les contenus - 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une seule fois</w:t>
      </w:r>
      <w:r>
        <w:rPr>
          <w:sz w:val="24"/>
          <w:szCs w:val="24"/>
          <w:lang w:val="fr-FR"/>
        </w:rPr>
        <w:t xml:space="preserve"> et pour chacune des questions choisissez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>
        <w:rPr>
          <w:b w:val="false"/>
          <w:bCs w:val="false"/>
          <w:sz w:val="24"/>
          <w:szCs w:val="24"/>
          <w:lang w:val="fr-FR"/>
        </w:rPr>
        <w:t xml:space="preserve">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D’après les auteurs, chaque français mange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en moyenne arrondie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3225"/>
        <w:gridCol w:w="3458"/>
      </w:tblGrid>
      <w:tr>
        <w:trPr/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125 grammes de viande/jour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250 grammes de viande/jour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375 grammes de viande/jour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2. Combien y a-t-il d’animaux d’élevage par être humain en 2020 ?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4"/>
        <w:gridCol w:w="2321"/>
        <w:gridCol w:w="2685"/>
        <w:gridCol w:w="2324"/>
      </w:tblGrid>
      <w:tr>
        <w:trPr/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4 pour un humain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6 pour un humain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9 pour un humain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12 pour un humain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3. En 2050, par rapport à 2013, la production d’animaux de boucherie aura progressé de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1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fr-FR"/>
              </w:rPr>
              <w:t>50 %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150 %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250 %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500 %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4. La production d’1 kg de carottes exige en besoin d’eau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1920"/>
        <w:gridCol w:w="2325"/>
        <w:gridCol w:w="2154"/>
      </w:tblGrid>
      <w:tr>
        <w:trPr>
          <w:trHeight w:val="950" w:hRule="atLeast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10 fois moins qu’</w:t>
            </w:r>
            <w:r>
              <w:rPr>
                <w:b w:val="false"/>
                <w:bCs w:val="false"/>
                <w:sz w:val="24"/>
                <w:szCs w:val="24"/>
                <w:lang w:val="fr-FR"/>
              </w:rPr>
              <w:t>1 kg de viande bovine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50 fois moins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100 fois moins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1000 fois moins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5.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L’élevage de volailles a augmenté en 10 ans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7"/>
        <w:gridCol w:w="3302"/>
        <w:gridCol w:w="2836"/>
      </w:tblGrid>
      <w:tr>
        <w:trPr/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0"/>
                <w:szCs w:val="20"/>
                <w:lang w:val="fr-FR" w:eastAsia="zh-CN" w:bidi="hi-IN"/>
              </w:rPr>
              <w:t>De 35 % entre 1994 et 2014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0"/>
                <w:szCs w:val="20"/>
                <w:lang w:val="fr-FR" w:eastAsia="zh-CN" w:bidi="hi-IN"/>
              </w:rPr>
              <w:t>De 35 % entre 2010 et 2020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fr-FR"/>
              </w:rPr>
              <w:t>De 50 % entre 1994 et 220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6. Les bovins produisent plus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d’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effet de serre que: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Les porcins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La Sidérurgie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Les  volailles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Les Transports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7. Le méthane développé par l’élevage d’animaux est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25 fois plus polluant que le CO2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100 fois plus polluant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300 fois plus polluant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300 fois moins polluant que le CO2 produit par les moteurs à combustion thermique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8. La consommation moyenne de viande de chaque Français par an correspond au poids moyen d’un porc américain destiné à l’abattage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4819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Elle est moins élevée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Elle est plus élevée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b w:val="false"/>
                <w:bCs w:val="false"/>
                <w:lang w:val="fr-FR"/>
              </w:rPr>
              <w:t>Elle équivaut à son poids</w:t>
            </w:r>
          </w:p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9.  La production de gaz à effet de serre est provoquée par ::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9"/>
        <w:gridCol w:w="3001"/>
        <w:gridCol w:w="3465"/>
      </w:tblGrid>
      <w:tr>
        <w:trPr>
          <w:trHeight w:val="510" w:hRule="atLeast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Fumier et lisier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Engrais et rumination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Nitrates et phosphore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10. Parmi les principaux producteurs de viande bovine dans le monde, qui occupe la troisième place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0"/>
        <w:gridCol w:w="1695"/>
        <w:gridCol w:w="2160"/>
        <w:gridCol w:w="1410"/>
        <w:gridCol w:w="2273"/>
      </w:tblGrid>
      <w:tr>
        <w:trPr/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Chine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 xml:space="preserve"> </w:t>
            </w:r>
            <w:r>
              <w:rPr/>
              <w:t>Inde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Etats-Unis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 xml:space="preserve">Brésil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Union européenne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11.Pendant les 4 minutes de cette vidéo, combien d’animaux d’élevage ont-ils été abattus pour la boucherie ?: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4.950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49.500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495.000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4.950.000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226</TotalTime>
  <Application>LibreOffice/6.4.2.2$Windows_X86_64 LibreOffice_project/4e471d8c02c9c90f512f7f9ead8875b57fcb1ec3</Application>
  <Pages>2</Pages>
  <Words>342</Words>
  <Characters>1630</Characters>
  <CharactersWithSpaces>1933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2020-04-18T17:58:33Z</dcterms:modified>
  <cp:revision>13</cp:revision>
  <dc:subject/>
  <dc:title/>
</cp:coreProperties>
</file>