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5"/>
        <w:gridCol w:w="7829"/>
      </w:tblGrid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-19685</wp:posOffset>
                  </wp:positionV>
                  <wp:extent cx="845820" cy="922020"/>
                  <wp:effectExtent l="0" t="0" r="0" b="0"/>
                  <wp:wrapSquare wrapText="largest"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202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80808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before="100" w:after="0"/>
              <w:jc w:val="center"/>
              <w:rPr>
                <w:lang w:val="it-IT"/>
              </w:rPr>
            </w:pPr>
            <w:r>
              <w:rPr>
                <w:rFonts w:eastAsia="Times New Roman" w:cs="Times New Roman"/>
                <w:b/>
                <w:bCs/>
                <w:lang w:val="it-IT" w:eastAsia="it-IT" w:bidi="ar-SA"/>
              </w:rPr>
              <w:t>UNIVERSITA’ DEGLI STUDI DI MILANO</w:t>
            </w:r>
          </w:p>
          <w:p>
            <w:pPr>
              <w:pStyle w:val="Normal"/>
              <w:bidi w:val="0"/>
              <w:spacing w:before="100" w:after="0"/>
              <w:jc w:val="center"/>
              <w:rPr>
                <w:lang w:val="it-IT"/>
              </w:rPr>
            </w:pPr>
            <w:r>
              <w:rPr>
                <w:rFonts w:eastAsia="Times New Roman" w:cs="Times New Roman"/>
                <w:b/>
                <w:bCs/>
                <w:lang w:val="it-IT" w:eastAsia="it-IT" w:bidi="ar-SA"/>
              </w:rPr>
              <w:t>Scuola di Economia e Statistica</w:t>
            </w:r>
          </w:p>
          <w:p>
            <w:pPr>
              <w:pStyle w:val="Normal"/>
              <w:bidi w:val="0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lang w:val="it-IT" w:eastAsia="it-IT" w:bidi="ar-SA"/>
              </w:rPr>
              <w:t xml:space="preserve">ANNO ACCADEMICO 2019-2020 2° SEM Dott. Henrard - </w:t>
            </w:r>
          </w:p>
          <w:p>
            <w:pPr>
              <w:pStyle w:val="Normal"/>
              <w:bidi w:val="0"/>
              <w:spacing w:before="10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 w:bidi="ar-SA"/>
              </w:rPr>
              <w:t>Lingua Francese (6 ECTS) 12/05/2020 – Leçon 11</w:t>
            </w:r>
          </w:p>
        </w:tc>
      </w:tr>
    </w:tbl>
    <w:p>
      <w:pPr>
        <w:pStyle w:val="Titolo1"/>
        <w:bidi w:val="0"/>
        <w:jc w:val="center"/>
        <w:rPr/>
      </w:pPr>
      <w:r>
        <w:rPr>
          <w:sz w:val="36"/>
          <w:szCs w:val="36"/>
          <w:lang w:val="fr-FR"/>
        </w:rPr>
        <w:t>L'immigration sera la chance de nos économies</w:t>
      </w:r>
      <w:r>
        <w:rPr>
          <w:lang w:val="fr-FR"/>
        </w:rPr>
        <w:t xml:space="preserve"> </w:t>
      </w:r>
      <w:hyperlink r:id="rId3">
        <w:r>
          <w:rPr>
            <w:rStyle w:val="CollegamentoInternet"/>
            <w:sz w:val="30"/>
            <w:szCs w:val="30"/>
            <w:lang w:val="fr-FR"/>
          </w:rPr>
          <w:t>Eric Le Boucher</w:t>
        </w:r>
      </w:hyperlink>
      <w:r>
        <w:rPr>
          <w:sz w:val="30"/>
          <w:szCs w:val="30"/>
          <w:lang w:val="fr-FR"/>
        </w:rPr>
        <w:t xml:space="preserve"> </w:t>
      </w:r>
      <w:r>
        <w:rPr>
          <w:sz w:val="22"/>
          <w:szCs w:val="22"/>
          <w:lang w:val="fr-FR"/>
        </w:rPr>
        <w:t>— 06.09.2015</w:t>
      </w:r>
      <w:r>
        <w:rPr>
          <w:sz w:val="30"/>
          <w:szCs w:val="30"/>
          <w:lang w:val="fr-FR"/>
        </w:rPr>
        <w:t xml:space="preserve">  - Le Monde </w:t>
      </w:r>
    </w:p>
    <w:p>
      <w:pPr>
        <w:pStyle w:val="Titolo1"/>
        <w:bidi w:val="0"/>
        <w:jc w:val="center"/>
        <w:rPr/>
      </w:pPr>
      <w:r>
        <w:rPr>
          <w:sz w:val="30"/>
          <w:szCs w:val="30"/>
          <w:lang w:val="fr-FR"/>
        </w:rPr>
        <w:t>CORRIGE</w:t>
      </w:r>
    </w:p>
    <w:p>
      <w:pPr>
        <w:pStyle w:val="Titolo3"/>
        <w:bidi w:val="0"/>
        <w:jc w:val="lef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AFFIRMATIONS</w:t>
      </w:r>
      <w:r>
        <w:rPr/>
        <w:t xml:space="preserve"> : </w:t>
      </w:r>
    </w:p>
    <w:tbl>
      <w:tblPr>
        <w:tblW w:w="8796" w:type="dxa"/>
        <w:jc w:val="left"/>
        <w:tblInd w:w="-55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516"/>
        <w:gridCol w:w="570"/>
        <w:gridCol w:w="675"/>
        <w:gridCol w:w="1034"/>
      </w:tblGrid>
      <w:tr>
        <w:trPr/>
        <w:tc>
          <w:tcPr>
            <w:tcW w:w="6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Vrai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Faux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ONSP*</w:t>
            </w:r>
          </w:p>
        </w:tc>
      </w:tr>
      <w:tr>
        <w:trPr/>
        <w:tc>
          <w:tcPr>
            <w:tcW w:w="6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Le XXème siècle a été un siècle de grande immigration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6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Le développement des pays émergents favorisent l’émigration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6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Le populisme est en mesure de contrer l’immigration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X</w:t>
            </w:r>
          </w:p>
        </w:tc>
      </w:tr>
      <w:tr>
        <w:trPr/>
        <w:tc>
          <w:tcPr>
            <w:tcW w:w="6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Moins on achète de produits fabriqués dans le monde, moins il y aura d’immigration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6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Les immigrants veulent gagner 9000 dollars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6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En 2025 l’Europe aura absolument besoin de travailleurs immigrés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6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Les guerres désorganisent l’économie de l’immigration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>
          <w:trHeight w:val="369" w:hRule="atLeast"/>
        </w:trPr>
        <w:tc>
          <w:tcPr>
            <w:tcW w:w="6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Les migrations seront toujours Nord-Sud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>
          <w:trHeight w:val="381" w:hRule="atLeast"/>
        </w:trPr>
        <w:tc>
          <w:tcPr>
            <w:tcW w:w="6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Les émigrants/immigrants forment 11 % de la population mondiale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6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Les gens trop pauvres du Sud n’émigrent pas.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</w:tbl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  <w:t>(*) On ne sait pas (non sappiamo)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>
          <w:lang w:val="fr-FR"/>
        </w:rPr>
      </w:pPr>
      <w:r>
        <w:rPr>
          <w:b/>
          <w:bCs/>
          <w:lang w:val="fr-FR"/>
        </w:rPr>
        <w:t>VOTRE OPINION</w:t>
      </w:r>
      <w:r>
        <w:rPr>
          <w:lang w:val="fr-FR"/>
        </w:rPr>
        <w:t xml:space="preserve"> : Quand a été écrit cet article ? Serait-il écrit de la même manière aujourd’hui ? 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  <w:tab/>
        <w:t xml:space="preserve">                                                          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b/>
          <w:bCs/>
          <w:lang w:val="fr-FR"/>
        </w:rPr>
        <w:t>SYNONYMES</w:t>
      </w:r>
      <w:r>
        <w:rPr>
          <w:lang w:val="fr-FR"/>
        </w:rPr>
        <w:t xml:space="preserve"> :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lang w:val="fr-FR"/>
        </w:rPr>
        <w:tab/>
        <w:t xml:space="preserve">Délicat : </w:t>
      </w:r>
      <w:r>
        <w:rPr>
          <w:b/>
          <w:bCs/>
          <w:lang w:val="fr-FR"/>
        </w:rPr>
        <w:t>sensible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/>
      </w:pPr>
      <w:r>
        <w:rPr>
          <w:lang w:val="fr-FR"/>
        </w:rPr>
        <w:tab/>
        <w:t xml:space="preserve">Sont moins fréquents : </w:t>
      </w:r>
      <w:r>
        <w:rPr>
          <w:b/>
          <w:bCs/>
          <w:lang w:val="fr-FR"/>
        </w:rPr>
        <w:t>rares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/>
      </w:pPr>
      <w:r>
        <w:rPr>
          <w:lang w:val="fr-FR"/>
        </w:rPr>
        <w:tab/>
        <w:t xml:space="preserve">Non formulé : </w:t>
      </w:r>
      <w:r>
        <w:rPr>
          <w:b/>
          <w:bCs/>
          <w:lang w:val="fr-FR"/>
        </w:rPr>
        <w:t>non-pensé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lang w:val="fr-FR"/>
        </w:rPr>
        <w:tab/>
        <w:t xml:space="preserve">Les spécialistes concordent : </w:t>
      </w:r>
      <w:r>
        <w:rPr>
          <w:b/>
          <w:bCs/>
          <w:lang w:val="fr-FR"/>
        </w:rPr>
        <w:t>les économistes sont unanimes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/>
      </w:pPr>
      <w:r>
        <w:rPr>
          <w:lang w:val="fr-FR"/>
        </w:rPr>
        <w:tab/>
        <w:t xml:space="preserve">Renversement : </w:t>
      </w:r>
      <w:r>
        <w:rPr>
          <w:b/>
          <w:bCs/>
          <w:lang w:val="fr-FR"/>
        </w:rPr>
        <w:t>basculement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ind w:left="170" w:hanging="0"/>
        <w:jc w:val="both"/>
        <w:rPr>
          <w:lang w:val="fr-FR"/>
        </w:rPr>
      </w:pPr>
      <w:r>
        <w:rPr>
          <w:b/>
          <w:bCs/>
          <w:lang w:val="fr-FR"/>
        </w:rPr>
        <w:t>RELIER LES MOTS OU EXPRESSIONS SUIVANTES QUI ONT UN LIEN LOGIQUE A L’AIDE DE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fr-FR" w:eastAsia="zh-CN" w:bidi="hi-IN"/>
        </w:rPr>
        <w:t>S CHIFFRES</w:t>
      </w:r>
      <w:r>
        <w:rPr>
          <w:b/>
          <w:bCs/>
          <w:lang w:val="fr-FR"/>
        </w:rPr>
        <w:t xml:space="preserve"> </w:t>
      </w:r>
    </w:p>
    <w:p>
      <w:pPr>
        <w:pStyle w:val="Normal"/>
        <w:bidi w:val="0"/>
        <w:ind w:left="1587" w:hanging="1417"/>
        <w:jc w:val="both"/>
        <w:rPr>
          <w:b/>
          <w:b/>
          <w:bCs/>
          <w:lang w:val="fr-FR"/>
        </w:rPr>
      </w:pPr>
      <w:r>
        <w:rPr>
          <w:b/>
          <w:bCs/>
          <w:lang w:val="fr-FR"/>
        </w:rPr>
      </w:r>
    </w:p>
    <w:tbl>
      <w:tblPr>
        <w:tblW w:w="9638" w:type="dxa"/>
        <w:jc w:val="left"/>
        <w:tblInd w:w="-55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Inversion 1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Niveau 2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lang w:val="fr-FR"/>
              </w:rPr>
              <w:t>Éradication de la pauvreté 2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Basculement 1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Seuil 3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Développement 2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Massif 4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Brassage 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MOTS CROISES 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8055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76"/>
        <w:gridCol w:w="7678"/>
      </w:tblGrid>
      <w:tr>
        <w:trPr/>
        <w:tc>
          <w:tcPr>
            <w:tcW w:w="8054" w:type="dxa"/>
            <w:gridSpan w:val="2"/>
            <w:tcBorders/>
            <w:vAlign w:val="center"/>
          </w:tcPr>
          <w:p>
            <w:pPr>
              <w:pStyle w:val="Titolo3"/>
              <w:bidi w:val="0"/>
              <w:spacing w:before="140" w:after="120"/>
              <w:jc w:val="left"/>
              <w:rPr/>
            </w:pPr>
            <w:r>
              <w:rPr/>
              <w:t>Vertical :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2</w:t>
            </w:r>
          </w:p>
        </w:tc>
        <w:tc>
          <w:tcPr>
            <w:tcW w:w="7678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Le frottement crée une… </w:t>
            </w:r>
            <w:r>
              <w:rPr>
                <w:b/>
                <w:bCs/>
              </w:rPr>
              <w:t>ATTRITION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6</w:t>
            </w:r>
          </w:p>
        </w:tc>
        <w:tc>
          <w:tcPr>
            <w:tcW w:w="7678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Ce qui peut être contrôlé est …</w:t>
            </w:r>
            <w:r>
              <w:rPr>
                <w:b/>
                <w:bCs/>
              </w:rPr>
              <w:t xml:space="preserve"> GERABLE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7</w:t>
            </w:r>
          </w:p>
        </w:tc>
        <w:tc>
          <w:tcPr>
            <w:tcW w:w="7678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Organe sensoriel : le</w:t>
            </w:r>
            <w:r>
              <w:rPr>
                <w:b/>
                <w:bCs/>
              </w:rPr>
              <w:t xml:space="preserve"> NEZ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8</w:t>
            </w:r>
          </w:p>
        </w:tc>
        <w:tc>
          <w:tcPr>
            <w:tcW w:w="7678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Le contraire de la préposition de lieu "hors" </w:t>
            </w:r>
            <w:r>
              <w:rPr>
                <w:b/>
                <w:bCs/>
              </w:rPr>
              <w:t>DANS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10</w:t>
            </w:r>
          </w:p>
        </w:tc>
        <w:tc>
          <w:tcPr>
            <w:tcW w:w="7678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Le travailleur l'est, l'oiseau aussi </w:t>
            </w:r>
            <w:r>
              <w:rPr>
                <w:b/>
                <w:bCs/>
              </w:rPr>
              <w:t>MIGRATEUR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8055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0"/>
        <w:gridCol w:w="7814"/>
      </w:tblGrid>
      <w:tr>
        <w:trPr/>
        <w:tc>
          <w:tcPr>
            <w:tcW w:w="8054" w:type="dxa"/>
            <w:gridSpan w:val="2"/>
            <w:tcBorders/>
            <w:vAlign w:val="center"/>
          </w:tcPr>
          <w:p>
            <w:pPr>
              <w:pStyle w:val="Titolo3"/>
              <w:bidi w:val="0"/>
              <w:spacing w:before="140" w:after="120"/>
              <w:jc w:val="left"/>
              <w:rPr/>
            </w:pPr>
            <w:r>
              <w:rPr/>
              <w:t>Horizontal :</w:t>
            </w:r>
          </w:p>
        </w:tc>
      </w:tr>
      <w:tr>
        <w:trPr/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81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On pèse des objets ou des mots à l'aide d'une… </w:t>
            </w:r>
            <w:r>
              <w:rPr>
                <w:b/>
                <w:bCs/>
              </w:rPr>
              <w:t>BALANCE</w:t>
            </w:r>
          </w:p>
        </w:tc>
      </w:tr>
      <w:tr>
        <w:trPr/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3</w:t>
            </w:r>
          </w:p>
        </w:tc>
        <w:tc>
          <w:tcPr>
            <w:tcW w:w="781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Le contraire de "méfait" : un </w:t>
            </w:r>
            <w:r>
              <w:rPr>
                <w:b/>
                <w:bCs/>
              </w:rPr>
              <w:t>BIENFAIT</w:t>
            </w:r>
          </w:p>
        </w:tc>
      </w:tr>
      <w:tr>
        <w:trPr/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4</w:t>
            </w:r>
          </w:p>
        </w:tc>
        <w:tc>
          <w:tcPr>
            <w:tcW w:w="781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Avoir une perte ou un … </w:t>
            </w:r>
            <w:r>
              <w:rPr>
                <w:b/>
                <w:bCs/>
              </w:rPr>
              <w:t>GAIN</w:t>
            </w:r>
          </w:p>
        </w:tc>
      </w:tr>
      <w:tr>
        <w:trPr/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5</w:t>
            </w:r>
          </w:p>
        </w:tc>
        <w:tc>
          <w:tcPr>
            <w:tcW w:w="781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Mélanger est une autre manière de … </w:t>
            </w:r>
            <w:r>
              <w:rPr>
                <w:b/>
                <w:bCs/>
              </w:rPr>
              <w:t>BRASSER</w:t>
            </w:r>
          </w:p>
        </w:tc>
      </w:tr>
      <w:tr>
        <w:trPr/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  <w:t>9</w:t>
            </w:r>
          </w:p>
        </w:tc>
        <w:tc>
          <w:tcPr>
            <w:tcW w:w="781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Economiste anglais célèbre du XVIIIème siècle </w:t>
            </w:r>
            <w:r>
              <w:rPr>
                <w:b/>
                <w:bCs/>
              </w:rPr>
              <w:t>MALTHUS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4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Dott. Patrick Henrard   patrick.henrard@unimib.it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Titolo3">
    <w:name w:val="Heading 3"/>
    <w:basedOn w:val="Titoloprincipale"/>
    <w:qFormat/>
    <w:pPr>
      <w:spacing w:before="140" w:after="120"/>
      <w:outlineLvl w:val="2"/>
    </w:pPr>
    <w:rPr>
      <w:rFonts w:ascii="Liberation Serif" w:hAnsi="Liberation Serif" w:eastAsia="SimSun" w:cs="Lucida Sans"/>
      <w:b/>
      <w:bCs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late.fr/source/eric-le-boucher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LibreOffice/6.4.3.2$Windows_X86_64 LibreOffice_project/747b5d0ebf89f41c860ec2a39efd7cb15b54f2d8</Application>
  <Pages>2</Pages>
  <Words>315</Words>
  <Characters>1574</Characters>
  <CharactersWithSpaces>1892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2020-05-09T11:46:31Z</dcterms:created>
  <dc:creator/>
  <dc:description/>
  <dc:language>it-IT</dc:language>
  <cp:lastModifiedBy/>
  <dcterms:modified xsi:type="dcterms:W3CDTF">2020-05-09T13:18:31Z</dcterms:modified>
  <cp:revision>3</cp:revision>
  <dc:subject/>
  <dc:title/>
</cp:coreProperties>
</file>