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75" w:type="dxa"/>
        <w:jc w:val="left"/>
        <w:tblInd w:w="0" w:type="dxa"/>
        <w:tblCellMar>
          <w:top w:w="0" w:type="dxa"/>
          <w:left w:w="0" w:type="dxa"/>
          <w:bottom w:w="0" w:type="dxa"/>
          <w:right w:w="0" w:type="dxa"/>
        </w:tblCellMar>
      </w:tblPr>
      <w:tblGrid>
        <w:gridCol w:w="1590"/>
        <w:gridCol w:w="8384"/>
      </w:tblGrid>
      <w:tr>
        <w:trPr/>
        <w:tc>
          <w:tcPr>
            <w:tcW w:w="1590" w:type="dxa"/>
            <w:tcBorders/>
          </w:tcPr>
          <w:p>
            <w:pPr>
              <w:pStyle w:val="Contenutotabella"/>
              <w:jc w:val="center"/>
              <w:rPr/>
            </w:pPr>
            <w:r>
              <w:rPr/>
              <w:drawing>
                <wp:anchor behindDoc="0" distT="0" distB="0" distL="0" distR="0" simplePos="0" locked="0" layoutInCell="1" allowOverlap="1" relativeHeight="2">
                  <wp:simplePos x="0" y="0"/>
                  <wp:positionH relativeFrom="column">
                    <wp:align>center</wp:align>
                  </wp:positionH>
                  <wp:positionV relativeFrom="paragraph">
                    <wp:posOffset>-19685</wp:posOffset>
                  </wp:positionV>
                  <wp:extent cx="845820" cy="92202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845820" cy="922020"/>
                          </a:xfrm>
                          <a:prstGeom prst="rect">
                            <a:avLst/>
                          </a:prstGeom>
                          <a:ln w="635">
                            <a:solidFill>
                              <a:srgbClr val="808080"/>
                            </a:solidFill>
                          </a:ln>
                        </pic:spPr>
                      </pic:pic>
                    </a:graphicData>
                  </a:graphic>
                </wp:anchor>
              </w:drawing>
            </w:r>
          </w:p>
        </w:tc>
        <w:tc>
          <w:tcPr>
            <w:tcW w:w="8384" w:type="dxa"/>
            <w:tcBorders/>
          </w:tcPr>
          <w:p>
            <w:pPr>
              <w:pStyle w:val="Normal"/>
              <w:spacing w:before="100" w:after="0"/>
              <w:jc w:val="center"/>
              <w:rPr>
                <w:lang w:val="it-IT"/>
              </w:rPr>
            </w:pPr>
            <w:r>
              <w:rPr>
                <w:rFonts w:eastAsia="Times New Roman" w:cs="Times New Roman"/>
                <w:b/>
                <w:bCs/>
                <w:lang w:val="it-IT" w:eastAsia="it-IT" w:bidi="ar-SA"/>
              </w:rPr>
              <w:t>UNIVERSITA’ DEGLI STUDI DI MILANO</w:t>
            </w:r>
          </w:p>
          <w:p>
            <w:pPr>
              <w:pStyle w:val="Normal"/>
              <w:spacing w:before="100" w:after="0"/>
              <w:jc w:val="center"/>
              <w:rPr>
                <w:lang w:val="it-IT"/>
              </w:rPr>
            </w:pPr>
            <w:r>
              <w:rPr>
                <w:rFonts w:eastAsia="Times New Roman" w:cs="Times New Roman"/>
                <w:b/>
                <w:bCs/>
                <w:lang w:val="it-IT" w:eastAsia="it-IT" w:bidi="ar-SA"/>
              </w:rPr>
              <w:t>Scuola di Economia e Statistica</w:t>
            </w:r>
          </w:p>
          <w:p>
            <w:pPr>
              <w:pStyle w:val="Normal"/>
              <w:spacing w:before="100" w:after="0"/>
              <w:jc w:val="center"/>
              <w:rPr/>
            </w:pPr>
            <w:r>
              <w:rPr>
                <w:rFonts w:eastAsia="Times New Roman" w:cs="Times New Roman"/>
                <w:b/>
                <w:bCs/>
                <w:lang w:val="it-IT" w:eastAsia="it-IT" w:bidi="ar-SA"/>
              </w:rPr>
              <w:t xml:space="preserve">ANNO ACCADEMICO 2019-20202° SEM Dott. Henrard - </w:t>
            </w:r>
          </w:p>
          <w:p>
            <w:pPr>
              <w:pStyle w:val="Normal"/>
              <w:spacing w:before="100" w:after="0"/>
              <w:jc w:val="center"/>
              <w:rPr/>
            </w:pPr>
            <w:r>
              <w:rPr>
                <w:rFonts w:eastAsia="Times New Roman" w:cs="Times New Roman"/>
                <w:b/>
                <w:bCs/>
                <w:color w:val="000000"/>
                <w:lang w:eastAsia="it-IT" w:bidi="ar-SA"/>
              </w:rPr>
              <w:t>L</w:t>
            </w:r>
            <w:r>
              <w:rPr>
                <w:rFonts w:eastAsia="Times New Roman" w:cs="Times New Roman"/>
                <w:b/>
                <w:bCs/>
                <w:color w:val="000000"/>
                <w:kern w:val="2"/>
                <w:sz w:val="24"/>
                <w:szCs w:val="24"/>
                <w:lang w:val="en-US" w:eastAsia="it-IT" w:bidi="ar-SA"/>
              </w:rPr>
              <w:t>ingua Francese (6 ECTS)</w:t>
            </w:r>
            <w:r>
              <w:rPr>
                <w:rFonts w:eastAsia="Times New Roman" w:cs="Times New Roman"/>
                <w:b/>
                <w:bCs/>
                <w:color w:val="000000"/>
                <w:lang w:eastAsia="it-IT" w:bidi="ar-SA"/>
              </w:rPr>
              <w:t xml:space="preserve"> 12/5/2020 – Leçon  11</w:t>
            </w:r>
          </w:p>
        </w:tc>
      </w:tr>
    </w:tbl>
    <w:p>
      <w:pPr>
        <w:pStyle w:val="Titolo1"/>
        <w:spacing w:lineRule="auto" w:line="240"/>
        <w:rPr/>
      </w:pPr>
      <w:r>
        <w:rPr>
          <w:color w:val="000000"/>
          <w:sz w:val="36"/>
          <w:szCs w:val="36"/>
          <w:lang w:val="fr-FR"/>
        </w:rPr>
        <w:t>L'immigration sera la chance de nos économies</w:t>
      </w:r>
      <w:r>
        <w:rPr>
          <w:color w:val="000000"/>
          <w:sz w:val="32"/>
          <w:szCs w:val="32"/>
          <w:lang w:val="fr-FR"/>
        </w:rPr>
        <w:t xml:space="preserve"> </w:t>
      </w:r>
      <w:hyperlink r:id="rId3">
        <w:r>
          <w:rPr>
            <w:rStyle w:val="CollegamentoInternet"/>
            <w:color w:val="000000"/>
            <w:sz w:val="28"/>
            <w:szCs w:val="28"/>
            <w:lang w:val="fr-FR"/>
          </w:rPr>
          <w:t>Eric Le Boucher</w:t>
        </w:r>
      </w:hyperlink>
      <w:r>
        <w:rPr>
          <w:color w:val="000000"/>
          <w:sz w:val="28"/>
          <w:szCs w:val="28"/>
          <w:lang w:val="fr-FR"/>
        </w:rPr>
        <w:t xml:space="preserve"> – </w:t>
      </w:r>
      <w:r>
        <w:rPr>
          <w:color w:val="000000"/>
          <w:sz w:val="28"/>
          <w:szCs w:val="28"/>
          <w:lang w:val="fr-FR"/>
        </w:rPr>
        <w:t>Le Monde</w:t>
      </w:r>
      <w:r>
        <w:rPr>
          <w:color w:val="000000"/>
          <w:sz w:val="28"/>
          <w:szCs w:val="28"/>
          <w:lang w:val="fr-FR"/>
        </w:rPr>
        <w:t xml:space="preserve"> (06.09.2015)</w:t>
      </w:r>
    </w:p>
    <w:p>
      <w:pPr>
        <w:pStyle w:val="Titolo3"/>
        <w:rPr>
          <w:sz w:val="24"/>
          <w:szCs w:val="24"/>
          <w:lang w:val="fr-FR"/>
        </w:rPr>
      </w:pPr>
      <w:r>
        <w:rPr>
          <w:sz w:val="24"/>
          <w:szCs w:val="24"/>
          <w:lang w:val="fr-FR"/>
        </w:rPr>
        <w:t xml:space="preserve">Une fois n'est pas coutume (per una volta), les économistes sont unanimes : la libre circulation des personnes conduit à plus de richesse et non le contraire. Cessons (smettiamo) d'avoir peur des migrants. </w:t>
      </w:r>
    </w:p>
    <w:p>
      <w:pPr>
        <w:pStyle w:val="Corpodeltesto"/>
        <w:rPr/>
      </w:pPr>
      <w:r>
        <w:rPr>
          <w:lang w:val="fr-FR"/>
        </w:rPr>
        <w:t>Les économistes ne sont jamais d'accord entre eux, sauf sur un sujet : les bienfaits  (</w:t>
      </w:r>
      <w:r>
        <w:rPr>
          <w:i/>
          <w:iCs/>
          <w:lang w:val="fr-FR"/>
        </w:rPr>
        <w:t>aspetti positivi</w:t>
      </w:r>
      <w:r>
        <w:rPr>
          <w:lang w:val="fr-FR"/>
        </w:rPr>
        <w:t>) de l'immigration. Il en est bien peu (</w:t>
      </w:r>
      <w:r>
        <w:rPr>
          <w:i/>
          <w:iCs/>
          <w:lang w:val="fr-FR"/>
        </w:rPr>
        <w:t>ce ne sono pochi</w:t>
      </w:r>
      <w:r>
        <w:rPr>
          <w:lang w:val="fr-FR"/>
        </w:rPr>
        <w:t>) dans cette profession qui soient malthusiens : pour la très grande majorité, la libre circulation des personnes conduit à plus de richesses et non le contraire. Ce sont les hommes qui créent leur travail ; plus ils sont, plus il y aura de travail. Quant aux études économétriques, elles infirment (</w:t>
      </w:r>
      <w:r>
        <w:rPr>
          <w:i/>
          <w:iCs/>
          <w:lang w:val="fr-FR"/>
        </w:rPr>
        <w:t>smentiscono</w:t>
      </w:r>
      <w:r>
        <w:rPr>
          <w:lang w:val="fr-FR"/>
        </w:rPr>
        <w:t xml:space="preserve">) toutes ce qu'affirment  </w:t>
      </w:r>
      <w:bookmarkStart w:id="0" w:name="_GoBack1"/>
      <w:bookmarkEnd w:id="0"/>
      <w:r>
        <w:rPr>
          <w:lang w:val="fr-FR"/>
        </w:rPr>
        <w:t>les populistes anti-immigrations : non, les immigrés ne prennent pas le travail des autres ; non,</w:t>
      </w:r>
      <w:r>
        <w:rPr>
          <w:color w:val="000000"/>
          <w:lang w:val="fr-FR"/>
        </w:rPr>
        <w:t xml:space="preserve"> </w:t>
      </w:r>
      <w:hyperlink r:id="rId4" w:tgtFrame="_blank">
        <w:r>
          <w:rPr>
            <w:rStyle w:val="CollegamentoInternet"/>
            <w:color w:val="000000"/>
            <w:u w:val="none"/>
            <w:lang w:val="fr-FR"/>
          </w:rPr>
          <w:t>ils ne créent pas de trous dans la Sécurité sociale</w:t>
        </w:r>
      </w:hyperlink>
      <w:r>
        <w:rPr>
          <w:rStyle w:val="CollegamentoInternet"/>
          <w:color w:val="000000"/>
          <w:u w:val="none"/>
          <w:lang w:val="fr-FR"/>
        </w:rPr>
        <w:t xml:space="preserve"> (</w:t>
      </w:r>
      <w:r>
        <w:rPr>
          <w:rStyle w:val="CollegamentoInternet"/>
          <w:i/>
          <w:iCs/>
          <w:color w:val="000000"/>
          <w:u w:val="none"/>
          <w:lang w:val="fr-FR"/>
        </w:rPr>
        <w:t>i sistemi di previdenza sociale e sanitari</w:t>
      </w:r>
      <w:r>
        <w:rPr>
          <w:rStyle w:val="CollegamentoInternet"/>
          <w:color w:val="000000"/>
          <w:u w:val="none"/>
          <w:lang w:val="fr-FR"/>
        </w:rPr>
        <w:t>)</w:t>
      </w:r>
      <w:r>
        <w:rPr>
          <w:color w:val="000000"/>
          <w:lang w:val="fr-FR"/>
        </w:rPr>
        <w:t>.</w:t>
      </w:r>
    </w:p>
    <w:p>
      <w:pPr>
        <w:pStyle w:val="Corpodeltesto"/>
        <w:rPr>
          <w:lang w:val="fr-FR"/>
        </w:rPr>
      </w:pPr>
      <w:r>
        <w:rPr>
          <w:lang w:val="fr-FR"/>
        </w:rPr>
        <w:t>Mais ce discours est très peu entendu. L'immigration est un sujet trop sensible. Elle provoque la peur la plus épaisse (</w:t>
      </w:r>
      <w:r>
        <w:rPr>
          <w:i/>
          <w:iCs/>
          <w:lang w:val="fr-FR"/>
        </w:rPr>
        <w:t>fitta-consistente-spessa</w:t>
      </w:r>
      <w:r>
        <w:rPr>
          <w:lang w:val="fr-FR"/>
        </w:rPr>
        <w:t>) des sociétés humaines, celle de l'invasion et de la perte des identités, nationales, culturelles, religieuses. L'immigration est en conséquence un non-pensé. Les partis se taisent (</w:t>
      </w:r>
      <w:r>
        <w:rPr>
          <w:i/>
          <w:iCs/>
          <w:lang w:val="fr-FR"/>
        </w:rPr>
        <w:t>taciono</w:t>
      </w:r>
      <w:r>
        <w:rPr>
          <w:lang w:val="fr-FR"/>
        </w:rPr>
        <w:t>), les gouvernements et l’Union Européenne n'ont pas de vision de long terme, ils suivent leur opinion publique. Du coup, les événements les bousculent (</w:t>
      </w:r>
      <w:r>
        <w:rPr>
          <w:i/>
          <w:iCs/>
          <w:lang w:val="fr-FR"/>
        </w:rPr>
        <w:t>sconvolgono</w:t>
      </w:r>
      <w:r>
        <w:rPr>
          <w:lang w:val="fr-FR"/>
        </w:rPr>
        <w:t>), comme la vague de cet été le démontre.</w:t>
      </w:r>
    </w:p>
    <w:p>
      <w:pPr>
        <w:pStyle w:val="Titolo3"/>
        <w:rPr>
          <w:lang w:val="fr-FR"/>
        </w:rPr>
      </w:pPr>
      <w:r>
        <w:rPr>
          <w:lang w:val="fr-FR"/>
        </w:rPr>
        <w:t>Massives apparences</w:t>
      </w:r>
    </w:p>
    <w:p>
      <w:pPr>
        <w:pStyle w:val="Corpodeltesto"/>
        <w:rPr>
          <w:lang w:val="fr-FR"/>
        </w:rPr>
      </w:pPr>
      <w:r>
        <w:rPr>
          <w:lang w:val="fr-FR"/>
        </w:rPr>
        <w:t>Notez que l'Europe n'est pas seule à se fermer les yeux et les oreilles. Il est frappant (colpisce) de constater que l'ONU, dont c'est pourtant la vocation première, vient de retenir dix-sept objectifs pour tracer</w:t>
      </w:r>
      <w:r>
        <w:rPr>
          <w:rStyle w:val="Enfasi"/>
          <w:lang w:val="fr-FR"/>
        </w:rPr>
        <w:t xml:space="preserve"> «la route de la dignité vers 2030»</w:t>
      </w:r>
      <w:r>
        <w:rPr>
          <w:lang w:val="fr-FR"/>
        </w:rPr>
        <w:t>, qui comprennent l'éradication (sradicamento)  de la pauvreté et de la faim, mais sans rien dire de l'immigration.</w:t>
      </w:r>
    </w:p>
    <w:p>
      <w:pPr>
        <w:pStyle w:val="Corpodeltesto"/>
        <w:rPr/>
      </w:pPr>
      <w:r>
        <w:rPr>
          <w:lang w:val="fr-FR"/>
        </w:rPr>
        <w:t>L'afflux de migrants n'a pourtant rien d'une surprise. Les démographes nous ont prévenus depuis longtemps : le XXI</w:t>
      </w:r>
      <w:r>
        <w:rPr>
          <w:position w:val="8"/>
          <w:sz w:val="19"/>
          <w:lang w:val="fr-FR"/>
        </w:rPr>
        <w:t>e</w:t>
      </w:r>
      <w:r>
        <w:rPr>
          <w:lang w:val="fr-FR"/>
        </w:rPr>
        <w:t xml:space="preserve"> siècle sera celui d'un grand brassage (rimescolamento). Les différences de niveau de vie, le vieillissement (invecchiamento), les luttes pour attirer les talents vont venir forcer les portes, tant les offres que les demandes d'immigration vont fortement grossir. Depuis 1990, le nombre de personnes vivant hors (fuori) de leur pays de naissance a crû (è cresciuto) de 76%. S'y ajoutent (aggiungono), comme aujourd'hui, des guerres qui provoquent des afflux si brusques qu'incontrôlables et insupportables. L'immigration apparaît </w:t>
      </w:r>
      <w:r>
        <w:rPr>
          <w:rStyle w:val="Enfasi"/>
          <w:lang w:val="fr-FR"/>
        </w:rPr>
        <w:t>«massive»</w:t>
      </w:r>
      <w:r>
        <w:rPr>
          <w:lang w:val="fr-FR"/>
        </w:rPr>
        <w:t xml:space="preserve">, mais ne l'est pas tant que cela. </w:t>
      </w:r>
      <w:hyperlink r:id="rId5" w:tgtFrame="_blank">
        <w:r>
          <w:rPr>
            <w:rStyle w:val="CollegamentoInternet"/>
            <w:color w:val="auto"/>
            <w:lang w:val="fr-FR"/>
          </w:rPr>
          <w:t>On compte 230 millions d'immigrés dans une population mondiale de 7,2 milliards</w:t>
        </w:r>
      </w:hyperlink>
      <w:r>
        <w:rPr>
          <w:lang w:val="fr-FR"/>
        </w:rPr>
        <w:t>, soit 3,2%. C'est peu. Quitter son pays était d'ailleurs (d’altronde), jusqu'ici (finora), un comportement de pays du Nord au XXème siècle (l’émigration massive dans les Amériques) et non du Sud du monde, où les gens trop pauvres restaient prisonniers de leur village. Dans les pays du Nord, globalement plus riches, 11% des habitants en moyenne sont nés ailleurs (</w:t>
      </w:r>
      <w:r>
        <w:rPr>
          <w:i w:val="false"/>
          <w:iCs w:val="false"/>
          <w:lang w:val="fr-FR"/>
        </w:rPr>
        <w:t>altrove</w:t>
      </w:r>
      <w:r>
        <w:rPr>
          <w:lang w:val="fr-FR"/>
        </w:rPr>
        <w:t>) contre seulement 1,5% au Sud.</w:t>
      </w:r>
    </w:p>
    <w:p>
      <w:pPr>
        <w:pStyle w:val="Titolo3"/>
        <w:rPr>
          <w:lang w:val="fr-FR"/>
        </w:rPr>
      </w:pPr>
      <w:r>
        <w:rPr>
          <w:lang w:val="fr-FR"/>
        </w:rPr>
        <w:t>Flux réorientés</w:t>
      </w:r>
    </w:p>
    <w:p>
      <w:pPr>
        <w:pStyle w:val="Corpodeltesto"/>
        <w:rPr/>
      </w:pPr>
      <w:r>
        <w:rPr>
          <w:rFonts w:ascii="Oswald" w:hAnsi="Oswald"/>
          <w:lang w:val="fr-FR"/>
        </w:rPr>
        <w:t>Le XXI</w:t>
      </w:r>
      <w:r>
        <w:rPr>
          <w:rFonts w:ascii="Oswald" w:hAnsi="Oswald"/>
          <w:position w:val="8"/>
          <w:sz w:val="19"/>
          <w:lang w:val="fr-FR"/>
        </w:rPr>
        <w:t>e</w:t>
      </w:r>
      <w:r>
        <w:rPr>
          <w:rFonts w:ascii="Oswald" w:hAnsi="Oswald"/>
          <w:lang w:val="fr-FR"/>
        </w:rPr>
        <w:t xml:space="preserve"> siècle sera celui d'un grand brassage (rimescolamento). </w:t>
      </w:r>
      <w:r>
        <w:rPr>
          <w:lang w:val="fr-FR"/>
        </w:rPr>
        <w:t xml:space="preserve">De quoi demain sera-t-il fait ? La population mondiale va augmenter de 1,1% par an pour atteindre 9,7 milliards en 2050, elle devrait atteindre un plateau dans un siècle. Mais les pays à explosions démographiques se raréfient (diminuiscono); déjà la population en âge de travailler se contracte au Japon, en Russie, en Corée, en Italie. L'Europe connaîtra cette attrition (attrito) dans dix ans, la Chine dès 2020. L'Amérique latine à partir de 2045. </w:t>
      </w:r>
    </w:p>
    <w:p>
      <w:pPr>
        <w:pStyle w:val="Corpodeltesto"/>
        <w:rPr>
          <w:lang w:val="fr-FR"/>
        </w:rPr>
      </w:pPr>
      <w:r>
        <w:rPr>
          <w:lang w:val="fr-FR"/>
        </w:rPr>
        <w:t>L'autre grande évolution récente vient du «</w:t>
      </w:r>
      <w:r>
        <w:rPr>
          <w:rStyle w:val="Enfasi"/>
          <w:lang w:val="fr-FR"/>
        </w:rPr>
        <w:t>grand basculement (basculamento)»</w:t>
      </w:r>
      <w:r>
        <w:rPr>
          <w:lang w:val="fr-FR"/>
        </w:rPr>
        <w:t xml:space="preserve"> issu de la mondialisation, à savoir le rapide développement des pays émergents. Il réduit et modifie les </w:t>
      </w:r>
      <w:r>
        <w:rPr>
          <w:rStyle w:val="Enfasi"/>
          <w:lang w:val="fr-FR"/>
        </w:rPr>
        <w:t>«besoins de partir»</w:t>
      </w:r>
      <w:r>
        <w:rPr>
          <w:lang w:val="fr-FR"/>
        </w:rPr>
        <w:t xml:space="preserve"> des populations pauvres. Les économistes ont observé un seuil (soglia) de 9.000 dollars : dans les pays en deçà  (al di sotto)de ce niveau de revenu par tête, les populations émigrent, mais dès que le revenu dépasse ce seuil, elles restent. Puis, au-delà de 15.000 dollars, la balance migratoire s'inverse, le pays devient attirant. C'est le cas désormais de l'Angola, du Brésil, de la Côte d'Ivoire, de la Malaisie et de l'Afrique du Sud, qui deviennent des pôles d'attraction pour leur région. Dans le même (stesso)  temps, les pays qui se développent se mettent à conserver leurs propres populations, comme le Mexique ou la Turquie. </w:t>
      </w:r>
    </w:p>
    <w:p>
      <w:pPr>
        <w:pStyle w:val="Corpodeltesto"/>
        <w:rPr>
          <w:lang w:val="fr-FR"/>
        </w:rPr>
      </w:pPr>
      <w:r>
        <w:rPr>
          <w:lang w:val="fr-FR"/>
        </w:rPr>
        <w:t>La géographie mondiale de l'immigration change vite : pour l'heure, la moitié des 164 millions d'immigrés du Sud sont partis au Nord, mais la proportion de ceux qui iront du Sud au Sud va croître, soulageant la pression sur le Nord.</w:t>
      </w:r>
    </w:p>
    <w:p>
      <w:pPr>
        <w:pStyle w:val="Titolo3"/>
        <w:rPr>
          <w:lang w:val="fr-FR"/>
        </w:rPr>
      </w:pPr>
      <w:r>
        <w:rPr>
          <w:lang w:val="fr-FR"/>
        </w:rPr>
        <w:t>Angoisse d’invasion relativisée</w:t>
      </w:r>
    </w:p>
    <w:p>
      <w:pPr>
        <w:pStyle w:val="Corpodeltesto"/>
        <w:rPr>
          <w:lang w:val="fr-FR"/>
        </w:rPr>
      </w:pPr>
      <w:r>
        <w:rPr>
          <w:lang w:val="fr-FR"/>
        </w:rPr>
        <w:t>Tout cela devrait conduire à beaucoup relativiser l'angoisse d'invasion et, puisque l'immigration reste, somme toute, gérable, à mener des actions de long terme pour profiter de ses bienfaits et éloigner ses inconvénients. L'immigration vient du sous-développement et de la pauvreté.</w:t>
      </w:r>
    </w:p>
    <w:p>
      <w:pPr>
        <w:pStyle w:val="Corpodeltesto"/>
        <w:rPr>
          <w:lang w:val="fr-FR"/>
        </w:rPr>
      </w:pPr>
      <w:r>
        <w:rPr>
          <w:rFonts w:ascii="Oswald" w:hAnsi="Oswald"/>
          <w:lang w:val="fr-FR"/>
        </w:rPr>
        <w:t>L'immigration est la première des armes contre l'immigration</w:t>
      </w:r>
    </w:p>
    <w:p>
      <w:pPr>
        <w:pStyle w:val="Corpodeltesto"/>
        <w:rPr>
          <w:lang w:val="fr-FR"/>
        </w:rPr>
      </w:pPr>
      <w:r>
        <w:rPr>
          <w:lang w:val="fr-FR"/>
        </w:rPr>
        <w:t>La liste de ces actions est longue, on en citera deux. La première est la mondialisation, parce qu'elle enrichit le Sud. C'est la contradiction des populistes protectionnistes : s'ils ne veulent pas des produits africains chez eux, ils auront les Africains qui frapperont aux portes.</w:t>
      </w:r>
    </w:p>
    <w:p>
      <w:pPr>
        <w:pStyle w:val="Corpodeltesto"/>
        <w:rPr>
          <w:lang w:val="fr-FR"/>
        </w:rPr>
      </w:pPr>
      <w:r>
        <w:rPr>
          <w:lang w:val="fr-FR"/>
        </w:rPr>
        <w:t>La seconde est un paradoxe. Les travailleurs immigrés envoient chez eux(a casa) 550 milliards de dollars chaque année à leur famille restée au pays. Ces mandats (</w:t>
      </w:r>
      <w:r>
        <w:rPr>
          <w:rStyle w:val="Enfasi"/>
          <w:lang w:val="fr-FR"/>
        </w:rPr>
        <w:t xml:space="preserve">«remittances» </w:t>
      </w:r>
      <w:r>
        <w:rPr>
          <w:lang w:val="fr-FR"/>
        </w:rPr>
        <w:t xml:space="preserve">en anglais) représentent 2,5 fois l'ensemble des aides au développement, sous toutes les formes, que le Nord verse au Sud. Cette somme permet, tant bien que mal, de trouver de l'eau, de se nourrir, de s'éduquer, de se soigner (curarsi). La pauvreté évitée, beaucoup peuvent rester </w:t>
      </w:r>
      <w:r>
        <w:rPr>
          <w:lang w:val="fr-FR"/>
        </w:rPr>
        <w:t>dans leur</w:t>
      </w:r>
      <w:r>
        <w:rPr>
          <w:lang w:val="fr-FR"/>
        </w:rPr>
        <w:t xml:space="preserve"> pays </w:t>
      </w:r>
      <w:r>
        <w:rPr>
          <w:lang w:val="fr-FR"/>
        </w:rPr>
        <w:t>d’origine.</w:t>
      </w:r>
    </w:p>
    <w:p>
      <w:pPr>
        <w:pStyle w:val="Corpodeltesto"/>
        <w:rPr>
          <w:lang w:val="fr-FR"/>
        </w:rPr>
      </w:pPr>
      <w:r>
        <w:rPr>
          <w:lang w:val="fr-FR"/>
        </w:rPr>
        <w:t>L'immigration est la première des armes contre l'immigration. Il est temps d'ôter (togliere) les masques de peur, de regarder les faits et d'en parler calmement.</w:t>
      </w:r>
    </w:p>
    <w:p>
      <w:pPr>
        <w:pStyle w:val="Normal"/>
        <w:rPr/>
      </w:pPr>
      <w:r>
        <w:rPr>
          <w:b/>
          <w:bCs/>
        </w:rPr>
        <w:t>AFFIRMATIONS</w:t>
      </w:r>
      <w:r>
        <w:rPr/>
        <w:t xml:space="preserve"> : </w:t>
      </w:r>
    </w:p>
    <w:tbl>
      <w:tblPr>
        <w:tblW w:w="8796" w:type="dxa"/>
        <w:jc w:val="left"/>
        <w:tblInd w:w="-55" w:type="dxa"/>
        <w:tblCellMar>
          <w:top w:w="55" w:type="dxa"/>
          <w:left w:w="50" w:type="dxa"/>
          <w:bottom w:w="55" w:type="dxa"/>
          <w:right w:w="55" w:type="dxa"/>
        </w:tblCellMar>
        <w:tblLook w:firstRow="0" w:noVBand="0" w:lastRow="0" w:firstColumn="0" w:lastColumn="0" w:noHBand="0" w:val="0000"/>
      </w:tblPr>
      <w:tblGrid>
        <w:gridCol w:w="6516"/>
        <w:gridCol w:w="570"/>
        <w:gridCol w:w="675"/>
        <w:gridCol w:w="1034"/>
      </w:tblGrid>
      <w:tr>
        <w:trPr/>
        <w:tc>
          <w:tcPr>
            <w:tcW w:w="6516" w:type="dxa"/>
            <w:tcBorders>
              <w:top w:val="single" w:sz="4" w:space="0" w:color="000001"/>
              <w:left w:val="single" w:sz="4" w:space="0" w:color="000001"/>
              <w:bottom w:val="single" w:sz="4" w:space="0" w:color="000001"/>
            </w:tcBorders>
            <w:shd w:color="auto" w:fill="auto" w:val="clear"/>
          </w:tcPr>
          <w:p>
            <w:pPr>
              <w:pStyle w:val="Contenutotabella"/>
              <w:rPr>
                <w:color w:val="000000"/>
              </w:rPr>
            </w:pPr>
            <w:r>
              <w:rPr>
                <w:color w:val="000000"/>
              </w:rPr>
            </w:r>
          </w:p>
        </w:tc>
        <w:tc>
          <w:tcPr>
            <w:tcW w:w="570" w:type="dxa"/>
            <w:tcBorders>
              <w:top w:val="single" w:sz="4" w:space="0" w:color="000001"/>
              <w:left w:val="single" w:sz="4" w:space="0" w:color="000001"/>
              <w:bottom w:val="single" w:sz="4" w:space="0" w:color="000001"/>
            </w:tcBorders>
            <w:shd w:color="auto" w:fill="auto" w:val="clear"/>
          </w:tcPr>
          <w:p>
            <w:pPr>
              <w:pStyle w:val="Contenutotabella"/>
              <w:rPr>
                <w:b/>
                <w:b/>
                <w:bCs/>
              </w:rPr>
            </w:pPr>
            <w:r>
              <w:rPr>
                <w:b/>
                <w:bCs/>
                <w:color w:val="000000"/>
              </w:rPr>
              <w:t>Vrai</w:t>
            </w:r>
          </w:p>
        </w:tc>
        <w:tc>
          <w:tcPr>
            <w:tcW w:w="675" w:type="dxa"/>
            <w:tcBorders>
              <w:top w:val="single" w:sz="4" w:space="0" w:color="000001"/>
              <w:left w:val="single" w:sz="4" w:space="0" w:color="000001"/>
              <w:bottom w:val="single" w:sz="4" w:space="0" w:color="000001"/>
            </w:tcBorders>
            <w:shd w:color="auto" w:fill="auto" w:val="clear"/>
          </w:tcPr>
          <w:p>
            <w:pPr>
              <w:pStyle w:val="Contenutotabella"/>
              <w:rPr>
                <w:b/>
                <w:b/>
                <w:bCs/>
              </w:rPr>
            </w:pPr>
            <w:r>
              <w:rPr>
                <w:b/>
                <w:bCs/>
                <w:color w:val="000000"/>
              </w:rPr>
              <w:t>Faux</w:t>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jc w:val="center"/>
              <w:rPr>
                <w:b/>
                <w:b/>
                <w:bCs/>
              </w:rPr>
            </w:pPr>
            <w:r>
              <w:rPr>
                <w:b/>
                <w:bCs/>
              </w:rPr>
              <w:t>ONSP*</w:t>
            </w:r>
          </w:p>
        </w:tc>
      </w:tr>
      <w:tr>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 XXème siècle a été un siècle de grand</w:t>
            </w:r>
            <w:r>
              <w:rPr>
                <w:rFonts w:eastAsia="SimSun" w:cs="Mangal"/>
                <w:color w:val="000000"/>
                <w:kern w:val="2"/>
                <w:sz w:val="24"/>
                <w:szCs w:val="24"/>
                <w:lang w:val="fr-FR" w:eastAsia="zh-CN" w:bidi="hi-IN"/>
              </w:rPr>
              <w:t>e immigration</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 développement des pays émergents favorisent l’émigration</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 populisme est en mesure de contrer l’immigration</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Moins on achète de produits fabriqués dans le monde, moins il y aura d’immigration</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Les immigrants veulent gagner 9000 dollars en Europe</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En 2025 l’Europe aura absolument besoin de travailleurs immigrés</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Les guerres désorganisent l’économie de l’immigration</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rHeight w:val="369" w:hRule="atLeast"/>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Les migrations seront toujours Nord-Sud</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rHeight w:val="381" w:hRule="atLeast"/>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Les émigrants/immigrants forment 11 % de la population mondiale</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6516"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Les gens trop pauvres du Sud n’émigrent pas.</w:t>
            </w:r>
          </w:p>
        </w:tc>
        <w:tc>
          <w:tcPr>
            <w:tcW w:w="570"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034"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bl>
    <w:p>
      <w:pPr>
        <w:pStyle w:val="Normal"/>
        <w:rPr>
          <w:lang w:val="fr-FR"/>
        </w:rPr>
      </w:pPr>
      <w:r>
        <w:rPr>
          <w:lang w:val="fr-FR"/>
        </w:rPr>
        <w:t>(*) On ne sait pas (non sappiamo)</w:t>
      </w:r>
    </w:p>
    <w:p>
      <w:pPr>
        <w:pStyle w:val="Normal"/>
        <w:rPr>
          <w:lang w:val="fr-FR"/>
        </w:rPr>
      </w:pPr>
      <w:r>
        <w:rPr>
          <w:lang w:val="fr-FR"/>
        </w:rPr>
      </w:r>
    </w:p>
    <w:p>
      <w:pPr>
        <w:pStyle w:val="Normal"/>
        <w:rPr>
          <w:lang w:val="fr-FR"/>
        </w:rPr>
      </w:pPr>
      <w:r>
        <w:rPr>
          <w:b/>
          <w:bCs/>
          <w:lang w:val="fr-FR"/>
        </w:rPr>
        <w:t>VOTRE OPINION</w:t>
      </w:r>
      <w:r>
        <w:rPr>
          <w:lang w:val="fr-FR"/>
        </w:rPr>
        <w:t xml:space="preserve"> : Quand a été écrit cet article ? Serait-il écrit de la même manière aujourd’hui ? ?</w:t>
      </w:r>
    </w:p>
    <w:p>
      <w:pPr>
        <w:pStyle w:val="Normal"/>
        <w:rPr>
          <w:lang w:val="fr-FR"/>
        </w:rPr>
      </w:pPr>
      <w:r>
        <w:rPr>
          <w:lang w:val="fr-FR"/>
        </w:rPr>
        <w:tab/>
        <w:t xml:space="preserve">                                                          </w:t>
      </w:r>
    </w:p>
    <w:p>
      <w:pPr>
        <w:pStyle w:val="Normal"/>
        <w:tabs>
          <w:tab w:val="clear" w:pos="709"/>
          <w:tab w:val="left" w:pos="735" w:leader="none"/>
        </w:tabs>
        <w:ind w:left="737" w:hanging="737"/>
        <w:rPr>
          <w:lang w:val="fr-FR"/>
        </w:rPr>
      </w:pPr>
      <w:r>
        <w:rPr>
          <w:b/>
          <w:bCs/>
          <w:lang w:val="fr-FR"/>
        </w:rPr>
        <w:t>SYNONYMES</w:t>
      </w:r>
      <w:r>
        <w:rPr>
          <w:lang w:val="fr-FR"/>
        </w:rPr>
        <w:t xml:space="preserve"> :</w:t>
      </w:r>
    </w:p>
    <w:p>
      <w:pPr>
        <w:pStyle w:val="Normal"/>
        <w:tabs>
          <w:tab w:val="clear" w:pos="709"/>
          <w:tab w:val="left" w:pos="735" w:leader="none"/>
        </w:tabs>
        <w:ind w:left="737" w:hanging="737"/>
        <w:rPr>
          <w:lang w:val="fr-FR"/>
        </w:rPr>
      </w:pPr>
      <w:r>
        <w:rPr>
          <w:lang w:val="fr-FR"/>
        </w:rPr>
        <w:tab/>
        <w:t>Délicat :</w:t>
      </w:r>
    </w:p>
    <w:p>
      <w:pPr>
        <w:pStyle w:val="Normal"/>
        <w:tabs>
          <w:tab w:val="clear" w:pos="709"/>
          <w:tab w:val="left" w:pos="735" w:leader="none"/>
        </w:tabs>
        <w:ind w:left="737" w:hanging="737"/>
        <w:rPr/>
      </w:pPr>
      <w:r>
        <w:rPr>
          <w:lang w:val="fr-FR"/>
        </w:rPr>
        <w:tab/>
        <w:t>Sont moins fréquents :</w:t>
      </w:r>
    </w:p>
    <w:p>
      <w:pPr>
        <w:pStyle w:val="Normal"/>
        <w:tabs>
          <w:tab w:val="clear" w:pos="709"/>
          <w:tab w:val="left" w:pos="735" w:leader="none"/>
        </w:tabs>
        <w:ind w:left="737" w:hanging="737"/>
        <w:rPr/>
      </w:pPr>
      <w:r>
        <w:rPr>
          <w:lang w:val="fr-FR"/>
        </w:rPr>
        <w:tab/>
        <w:t>Non formulé :</w:t>
      </w:r>
    </w:p>
    <w:p>
      <w:pPr>
        <w:pStyle w:val="Normal"/>
        <w:tabs>
          <w:tab w:val="clear" w:pos="709"/>
          <w:tab w:val="left" w:pos="735" w:leader="none"/>
        </w:tabs>
        <w:ind w:left="737" w:hanging="737"/>
        <w:rPr>
          <w:lang w:val="fr-FR"/>
        </w:rPr>
      </w:pPr>
      <w:r>
        <w:rPr>
          <w:lang w:val="fr-FR"/>
        </w:rPr>
        <w:tab/>
        <w:t>Les spécialistes concordent :</w:t>
      </w:r>
    </w:p>
    <w:p>
      <w:pPr>
        <w:pStyle w:val="Normal"/>
        <w:tabs>
          <w:tab w:val="clear" w:pos="709"/>
          <w:tab w:val="left" w:pos="735" w:leader="none"/>
        </w:tabs>
        <w:ind w:left="737" w:hanging="737"/>
        <w:rPr/>
      </w:pPr>
      <w:r>
        <w:rPr>
          <w:lang w:val="fr-FR"/>
        </w:rPr>
        <w:tab/>
      </w:r>
      <w:r>
        <w:rPr>
          <w:rFonts w:eastAsia="SimSun" w:cs="Mangal"/>
          <w:color w:val="auto"/>
          <w:kern w:val="2"/>
          <w:sz w:val="24"/>
          <w:szCs w:val="24"/>
          <w:lang w:val="fr-FR" w:eastAsia="zh-CN" w:bidi="hi-IN"/>
        </w:rPr>
        <w:t>Renverser</w:t>
      </w:r>
      <w:r>
        <w:rPr>
          <w:lang w:val="fr-FR"/>
        </w:rPr>
        <w:t> :</w:t>
      </w:r>
    </w:p>
    <w:p>
      <w:pPr>
        <w:pStyle w:val="Normal"/>
        <w:tabs>
          <w:tab w:val="clear" w:pos="709"/>
          <w:tab w:val="left" w:pos="735" w:leader="none"/>
        </w:tabs>
        <w:ind w:left="737" w:hanging="737"/>
        <w:rPr>
          <w:lang w:val="fr-FR"/>
        </w:rPr>
      </w:pPr>
      <w:r>
        <w:rPr>
          <w:lang w:val="fr-FR"/>
        </w:rPr>
      </w:r>
    </w:p>
    <w:p>
      <w:pPr>
        <w:pStyle w:val="Normal"/>
        <w:ind w:left="1587" w:hanging="1417"/>
        <w:jc w:val="both"/>
        <w:rPr>
          <w:lang w:val="fr-FR"/>
        </w:rPr>
      </w:pPr>
      <w:r>
        <w:rPr>
          <w:b/>
          <w:bCs/>
          <w:lang w:val="fr-FR"/>
        </w:rPr>
        <w:t xml:space="preserve">RELIER LES MOTS OU EXPRESSIONS SUIVANTES QUI ONT UN LIEN LOGIQUE A L’AIDE DES </w:t>
      </w:r>
      <w:r>
        <w:rPr>
          <w:rFonts w:eastAsia="SimSun" w:cs="Mangal"/>
          <w:b/>
          <w:bCs/>
          <w:color w:val="auto"/>
          <w:kern w:val="2"/>
          <w:sz w:val="24"/>
          <w:szCs w:val="24"/>
          <w:lang w:val="fr-FR" w:eastAsia="zh-CN" w:bidi="hi-IN"/>
        </w:rPr>
        <w:t>CHIFFRES</w:t>
      </w:r>
    </w:p>
    <w:p>
      <w:pPr>
        <w:pStyle w:val="Normal"/>
        <w:ind w:left="1587" w:hanging="1417"/>
        <w:jc w:val="both"/>
        <w:rPr>
          <w:b/>
          <w:b/>
          <w:bCs/>
          <w:lang w:val="fr-FR"/>
        </w:rPr>
      </w:pPr>
      <w:r>
        <w:rPr>
          <w:b/>
          <w:bCs/>
          <w:lang w:val="fr-FR"/>
        </w:rPr>
      </w:r>
    </w:p>
    <w:tbl>
      <w:tblPr>
        <w:tblW w:w="9638" w:type="dxa"/>
        <w:jc w:val="left"/>
        <w:tblInd w:w="-55" w:type="dxa"/>
        <w:tblCellMar>
          <w:top w:w="55" w:type="dxa"/>
          <w:left w:w="50" w:type="dxa"/>
          <w:bottom w:w="55" w:type="dxa"/>
          <w:right w:w="55" w:type="dxa"/>
        </w:tblCellMar>
        <w:tblLook w:firstRow="0" w:noVBand="0" w:lastRow="0" w:firstColumn="0" w:lastColumn="0" w:noHBand="0" w:val="0000"/>
      </w:tblPr>
      <w:tblGrid>
        <w:gridCol w:w="4819"/>
        <w:gridCol w:w="4818"/>
      </w:tblGrid>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Inversion 1</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niveau</w:t>
            </w:r>
          </w:p>
        </w:tc>
      </w:tr>
      <w:tr>
        <w:trPr/>
        <w:tc>
          <w:tcPr>
            <w:tcW w:w="4819" w:type="dxa"/>
            <w:tcBorders>
              <w:top w:val="single" w:sz="4" w:space="0" w:color="000001"/>
              <w:left w:val="single" w:sz="4" w:space="0" w:color="000001"/>
              <w:bottom w:val="single" w:sz="4" w:space="0" w:color="000001"/>
            </w:tcBorders>
            <w:shd w:color="auto" w:fill="auto" w:val="clear"/>
          </w:tcPr>
          <w:p>
            <w:pPr>
              <w:pStyle w:val="Normal"/>
              <w:rPr/>
            </w:pPr>
            <w:r>
              <w:rPr>
                <w:color w:val="000000"/>
                <w:lang w:val="fr-FR"/>
              </w:rPr>
              <w:t>Éradication de la pauvreté 2</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basculement</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Seuil 3</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développement</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Massif 4</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brassage</w:t>
            </w:r>
          </w:p>
        </w:tc>
      </w:tr>
    </w:tbl>
    <w:p>
      <w:pPr>
        <w:pStyle w:val="Normal"/>
        <w:rPr/>
      </w:pPr>
      <w:r>
        <w:rPr/>
      </w:r>
    </w:p>
    <w:p>
      <w:pPr>
        <w:pStyle w:val="Normal"/>
        <w:rPr>
          <w:sz w:val="36"/>
          <w:szCs w:val="36"/>
        </w:rPr>
      </w:pPr>
      <w:r>
        <w:rPr>
          <w:sz w:val="36"/>
          <w:szCs w:val="36"/>
        </w:rPr>
      </w:r>
    </w:p>
    <w:p>
      <w:pPr>
        <w:pStyle w:val="Normal"/>
        <w:rPr>
          <w:sz w:val="36"/>
          <w:szCs w:val="36"/>
        </w:rPr>
      </w:pPr>
      <w:r>
        <w:rPr>
          <w:b/>
          <w:bCs/>
          <w:sz w:val="24"/>
          <w:szCs w:val="24"/>
        </w:rPr>
        <w:t>MOTS CROISES</w:t>
      </w:r>
    </w:p>
    <w:p>
      <w:pPr>
        <w:pStyle w:val="Titolo2"/>
        <w:jc w:val="center"/>
        <w:rPr>
          <w:sz w:val="36"/>
          <w:szCs w:val="36"/>
        </w:rPr>
      </w:pPr>
      <w:r>
        <w:rPr>
          <w:rFonts w:ascii="Geneva;Arial;sans-serif" w:hAnsi="Geneva;Arial;sans-serif"/>
          <w:b/>
          <w:bCs/>
          <w:i w:val="false"/>
          <w:caps w:val="false"/>
          <w:smallCaps w:val="false"/>
          <w:color w:val="000000"/>
          <w:spacing w:val="0"/>
          <w:sz w:val="24"/>
          <w:szCs w:val="24"/>
        </w:rPr>
        <w:t>L'avenir de l'immigration</w:t>
      </w:r>
    </w:p>
    <w:p>
      <w:pPr>
        <w:pStyle w:val="Titolo3"/>
        <w:widowControl/>
        <w:jc w:val="center"/>
        <w:rPr>
          <w:sz w:val="36"/>
          <w:szCs w:val="36"/>
        </w:rPr>
      </w:pPr>
      <w:r>
        <w:rPr>
          <w:sz w:val="36"/>
          <w:szCs w:val="36"/>
        </w:rPr>
      </w:r>
    </w:p>
    <w:p>
      <w:pPr>
        <w:pStyle w:val="Normal"/>
        <w:spacing w:before="0" w:after="0"/>
        <w:rPr>
          <w:sz w:val="36"/>
          <w:szCs w:val="36"/>
        </w:rPr>
      </w:pPr>
      <w:r>
        <w:rPr>
          <w:sz w:val="36"/>
          <w:szCs w:val="36"/>
        </w:rPr>
      </w:r>
      <w:bookmarkStart w:id="1" w:name="Grid"/>
      <w:bookmarkStart w:id="2" w:name="Grid"/>
      <w:bookmarkEnd w:id="2"/>
    </w:p>
    <w:tbl>
      <w:tblPr>
        <w:tblW w:w="9360" w:type="dxa"/>
        <w:jc w:val="left"/>
        <w:tblInd w:w="28" w:type="dxa"/>
        <w:tblCellMar>
          <w:top w:w="28" w:type="dxa"/>
          <w:left w:w="28" w:type="dxa"/>
          <w:bottom w:w="28" w:type="dxa"/>
          <w:right w:w="28" w:type="dxa"/>
        </w:tblCellMar>
      </w:tblPr>
      <w:tblGrid>
        <w:gridCol w:w="633"/>
        <w:gridCol w:w="683"/>
        <w:gridCol w:w="600"/>
        <w:gridCol w:w="686"/>
        <w:gridCol w:w="666"/>
        <w:gridCol w:w="618"/>
        <w:gridCol w:w="618"/>
        <w:gridCol w:w="731"/>
        <w:gridCol w:w="683"/>
        <w:gridCol w:w="733"/>
        <w:gridCol w:w="682"/>
        <w:gridCol w:w="667"/>
        <w:gridCol w:w="685"/>
        <w:gridCol w:w="46"/>
        <w:gridCol w:w="628"/>
      </w:tblGrid>
      <w:tr>
        <w:trPr>
          <w:trHeight w:val="390" w:hRule="atLeast"/>
        </w:trPr>
        <w:tc>
          <w:tcPr>
            <w:tcW w:w="633" w:type="dxa"/>
            <w:tcBorders/>
            <w:shd w:fill="000000" w:val="clear"/>
            <w:vAlign w:val="center"/>
          </w:tcPr>
          <w:p>
            <w:pPr>
              <w:pStyle w:val="Contenutotabella"/>
              <w:jc w:val="center"/>
              <w:rPr>
                <w:color w:val="000000"/>
              </w:rPr>
            </w:pPr>
            <w:r>
              <w:rPr>
                <w:color w:val="000000"/>
              </w:rPr>
              <w:t> </w:t>
            </w:r>
          </w:p>
        </w:tc>
        <w:tc>
          <w:tcPr>
            <w:tcW w:w="683" w:type="dxa"/>
            <w:tcBorders/>
            <w:shd w:fill="FFFFFF" w:val="clear"/>
            <w:vAlign w:val="center"/>
          </w:tcPr>
          <w:p>
            <w:pPr>
              <w:pStyle w:val="Contenutotabella"/>
              <w:jc w:val="left"/>
              <w:rPr>
                <w:color w:val="000000"/>
                <w:sz w:val="20"/>
                <w:szCs w:val="20"/>
              </w:rPr>
            </w:pPr>
            <w:r>
              <w:rPr>
                <w:b/>
                <w:color w:val="000000"/>
                <w:sz w:val="20"/>
                <w:szCs w:val="20"/>
              </w:rPr>
              <w:t>1</w:t>
            </w:r>
            <w:r>
              <w:rPr>
                <w:color w:val="000000"/>
                <w:sz w:val="20"/>
                <w:szCs w:val="2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shd w:fill="000000"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465" w:hRule="atLeast"/>
        </w:trPr>
        <w:tc>
          <w:tcPr>
            <w:tcW w:w="633" w:type="dxa"/>
            <w:tcBorders/>
            <w:shd w:fill="000000" w:val="clear"/>
            <w:vAlign w:val="center"/>
          </w:tcPr>
          <w:p>
            <w:pPr>
              <w:pStyle w:val="Contenutotabella"/>
              <w:jc w:val="center"/>
              <w:rPr>
                <w:color w:val="000000"/>
              </w:rPr>
            </w:pPr>
            <w:r>
              <w:rPr>
                <w:color w:val="000000"/>
              </w:rPr>
              <w:t> </w:t>
            </w:r>
          </w:p>
        </w:tc>
        <w:tc>
          <w:tcPr>
            <w:tcW w:w="683" w:type="dxa"/>
            <w:tcBorders/>
            <w:shd w:fill="FFFFFF" w:val="clear"/>
            <w:vAlign w:val="center"/>
          </w:tcPr>
          <w:p>
            <w:pPr>
              <w:pStyle w:val="Contenutotabella"/>
              <w:jc w:val="left"/>
              <w:rPr>
                <w:color w:val="000000"/>
                <w:sz w:val="20"/>
                <w:szCs w:val="20"/>
              </w:rPr>
            </w:pPr>
            <w:r>
              <w:rPr>
                <w:b/>
                <w:color w:val="000000"/>
                <w:sz w:val="20"/>
                <w:szCs w:val="20"/>
              </w:rPr>
              <w:t>2</w:t>
            </w:r>
            <w:r>
              <w:rPr>
                <w:color w:val="000000"/>
                <w:sz w:val="20"/>
                <w:szCs w:val="20"/>
              </w:rPr>
              <w:t> </w:t>
            </w:r>
          </w:p>
        </w:tc>
        <w:tc>
          <w:tcPr>
            <w:tcW w:w="6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6"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66"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1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1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shd w:fill="000000"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450" w:hRule="atLeast"/>
        </w:trPr>
        <w:tc>
          <w:tcPr>
            <w:tcW w:w="633" w:type="dxa"/>
            <w:tcBorders/>
            <w:shd w:fill="000000" w:val="clear"/>
            <w:vAlign w:val="center"/>
          </w:tcPr>
          <w:p>
            <w:pPr>
              <w:pStyle w:val="Contenutotabella"/>
              <w:jc w:val="center"/>
              <w:rPr>
                <w:color w:val="000000"/>
              </w:rPr>
            </w:pPr>
            <w:r>
              <w:rPr>
                <w:color w:val="000000"/>
              </w:rPr>
              <w:t> </w:t>
            </w:r>
          </w:p>
        </w:tc>
        <w:tc>
          <w:tcPr>
            <w:tcW w:w="68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shd w:fill="000000"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469" w:hRule="atLeast"/>
        </w:trPr>
        <w:tc>
          <w:tcPr>
            <w:tcW w:w="633" w:type="dxa"/>
            <w:tcBorders/>
            <w:shd w:fill="000000" w:val="clear"/>
            <w:vAlign w:val="center"/>
          </w:tcPr>
          <w:p>
            <w:pPr>
              <w:pStyle w:val="Contenutotabella"/>
              <w:jc w:val="center"/>
              <w:rPr>
                <w:color w:val="000000"/>
              </w:rPr>
            </w:pPr>
            <w:r>
              <w:rPr>
                <w:color w:val="000000"/>
              </w:rPr>
              <w:t> </w:t>
            </w:r>
          </w:p>
        </w:tc>
        <w:tc>
          <w:tcPr>
            <w:tcW w:w="68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shd w:fill="000000"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465" w:hRule="atLeast"/>
        </w:trPr>
        <w:tc>
          <w:tcPr>
            <w:tcW w:w="633" w:type="dxa"/>
            <w:tcBorders/>
            <w:shd w:fill="000000" w:val="clear"/>
            <w:vAlign w:val="center"/>
          </w:tcPr>
          <w:p>
            <w:pPr>
              <w:pStyle w:val="Contenutotabella"/>
              <w:jc w:val="center"/>
              <w:rPr>
                <w:color w:val="000000"/>
              </w:rPr>
            </w:pPr>
            <w:r>
              <w:rPr>
                <w:color w:val="000000"/>
              </w:rPr>
              <w:t> </w:t>
            </w:r>
          </w:p>
        </w:tc>
        <w:tc>
          <w:tcPr>
            <w:tcW w:w="68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shd w:fill="FFFFFF" w:val="clear"/>
            <w:vAlign w:val="center"/>
          </w:tcPr>
          <w:p>
            <w:pPr>
              <w:pStyle w:val="Contenutotabella"/>
              <w:jc w:val="left"/>
              <w:rPr>
                <w:color w:val="000000"/>
                <w:sz w:val="27"/>
              </w:rPr>
            </w:pPr>
            <w:r>
              <w:rPr>
                <w:b/>
                <w:color w:val="000000"/>
                <w:sz w:val="20"/>
                <w:szCs w:val="20"/>
              </w:rPr>
              <w:t>3</w:t>
            </w:r>
            <w:r>
              <w:rPr>
                <w:color w:val="000000"/>
                <w:sz w:val="27"/>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shd w:fill="000000"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c>
          <w:tcPr>
            <w:tcW w:w="633" w:type="dxa"/>
            <w:tcBorders/>
            <w:shd w:fill="000000" w:val="clear"/>
            <w:vAlign w:val="center"/>
          </w:tcPr>
          <w:p>
            <w:pPr>
              <w:pStyle w:val="Contenutotabella"/>
              <w:jc w:val="center"/>
              <w:rPr>
                <w:color w:val="000000"/>
              </w:rPr>
            </w:pPr>
            <w:r>
              <w:rPr>
                <w:color w:val="000000"/>
              </w:rPr>
              <w:t> </w:t>
            </w:r>
          </w:p>
        </w:tc>
        <w:tc>
          <w:tcPr>
            <w:tcW w:w="68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FFFFFF" w:val="clear"/>
            <w:vAlign w:val="center"/>
          </w:tcPr>
          <w:p>
            <w:pPr>
              <w:pStyle w:val="Contenutotabella"/>
              <w:jc w:val="left"/>
              <w:rPr>
                <w:color w:val="000000"/>
                <w:sz w:val="27"/>
              </w:rPr>
            </w:pPr>
            <w:r>
              <w:rPr>
                <w:b/>
                <w:color w:val="000000"/>
                <w:sz w:val="20"/>
                <w:szCs w:val="20"/>
              </w:rPr>
              <w:t>4</w:t>
            </w:r>
            <w:r>
              <w:rPr>
                <w:color w:val="000000"/>
                <w:sz w:val="27"/>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shd w:fill="FFFFFF" w:val="clear"/>
            <w:vAlign w:val="center"/>
          </w:tcPr>
          <w:p>
            <w:pPr>
              <w:pStyle w:val="Contenutotabella"/>
              <w:jc w:val="left"/>
              <w:rPr>
                <w:color w:val="000000"/>
                <w:sz w:val="27"/>
              </w:rPr>
            </w:pPr>
            <w:r>
              <w:rPr>
                <w:b/>
                <w:color w:val="000000"/>
                <w:sz w:val="20"/>
                <w:szCs w:val="20"/>
              </w:rPr>
              <w:t>5</w:t>
            </w:r>
            <w:r>
              <w:rPr>
                <w:color w:val="000000"/>
                <w:sz w:val="27"/>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450" w:hRule="atLeast"/>
        </w:trPr>
        <w:tc>
          <w:tcPr>
            <w:tcW w:w="633" w:type="dxa"/>
            <w:tcBorders/>
            <w:shd w:fill="FFFFFF" w:val="clear"/>
            <w:vAlign w:val="center"/>
          </w:tcPr>
          <w:p>
            <w:pPr>
              <w:pStyle w:val="Contenutotabella"/>
              <w:jc w:val="left"/>
              <w:rPr>
                <w:color w:val="000000"/>
                <w:sz w:val="27"/>
              </w:rPr>
            </w:pPr>
            <w:r>
              <w:rPr>
                <w:b/>
                <w:color w:val="000000"/>
                <w:sz w:val="20"/>
                <w:szCs w:val="20"/>
              </w:rPr>
              <w:t>6</w:t>
            </w:r>
            <w:r>
              <w:rPr>
                <w:color w:val="000000"/>
                <w:sz w:val="27"/>
              </w:rPr>
              <w:t> </w:t>
            </w:r>
          </w:p>
        </w:tc>
        <w:tc>
          <w:tcPr>
            <w:tcW w:w="68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6"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66"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1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1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453" w:hRule="atLeast"/>
        </w:trPr>
        <w:tc>
          <w:tcPr>
            <w:tcW w:w="633"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shd w:fill="FFFFFF" w:val="clear"/>
            <w:vAlign w:val="center"/>
          </w:tcPr>
          <w:p>
            <w:pPr>
              <w:pStyle w:val="Contenutotabella"/>
              <w:jc w:val="left"/>
              <w:rPr>
                <w:color w:val="000000"/>
                <w:sz w:val="27"/>
              </w:rPr>
            </w:pPr>
            <w:r>
              <w:rPr>
                <w:b/>
                <w:color w:val="000000"/>
                <w:sz w:val="20"/>
                <w:szCs w:val="20"/>
              </w:rPr>
              <w:t>7</w:t>
            </w:r>
            <w:r>
              <w:rPr>
                <w:color w:val="000000"/>
                <w:sz w:val="27"/>
              </w:rPr>
              <w:t> </w:t>
            </w:r>
          </w:p>
        </w:tc>
        <w:tc>
          <w:tcPr>
            <w:tcW w:w="73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FFFFFF" w:val="clear"/>
            <w:vAlign w:val="center"/>
          </w:tcPr>
          <w:p>
            <w:pPr>
              <w:pStyle w:val="Contenutotabella"/>
              <w:jc w:val="left"/>
              <w:rPr>
                <w:color w:val="000000"/>
                <w:sz w:val="27"/>
              </w:rPr>
            </w:pPr>
            <w:r>
              <w:rPr>
                <w:b/>
                <w:color w:val="000000"/>
                <w:sz w:val="20"/>
                <w:szCs w:val="20"/>
              </w:rPr>
              <w:t>8</w:t>
            </w:r>
            <w:r>
              <w:rPr>
                <w:color w:val="000000"/>
                <w:sz w:val="27"/>
              </w:rPr>
              <w:t> </w:t>
            </w:r>
          </w:p>
        </w:tc>
        <w:tc>
          <w:tcPr>
            <w:tcW w:w="667"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5"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74" w:type="dxa"/>
            <w:gridSpan w:val="2"/>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r>
      <w:tr>
        <w:trPr>
          <w:trHeight w:val="465" w:hRule="atLeast"/>
        </w:trPr>
        <w:tc>
          <w:tcPr>
            <w:tcW w:w="633" w:type="dxa"/>
            <w:tcBorders/>
            <w:shd w:fill="FFFFFF" w:val="clear"/>
            <w:vAlign w:val="center"/>
          </w:tcPr>
          <w:p>
            <w:pPr>
              <w:pStyle w:val="Contenutotabella"/>
              <w:jc w:val="left"/>
              <w:rPr>
                <w:color w:val="000000"/>
                <w:sz w:val="27"/>
              </w:rPr>
            </w:pPr>
            <w:r>
              <w:rPr>
                <w:b/>
                <w:color w:val="000000"/>
                <w:sz w:val="20"/>
                <w:szCs w:val="20"/>
              </w:rPr>
              <w:t>9</w:t>
            </w:r>
            <w:r>
              <w:rPr>
                <w:color w:val="000000"/>
                <w:sz w:val="27"/>
              </w:rPr>
              <w:t> </w:t>
            </w:r>
          </w:p>
        </w:tc>
        <w:tc>
          <w:tcPr>
            <w:tcW w:w="683" w:type="dxa"/>
            <w:tcBorders/>
            <w:shd w:fill="000000"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450" w:hRule="atLeast"/>
        </w:trPr>
        <w:tc>
          <w:tcPr>
            <w:tcW w:w="633" w:type="dxa"/>
            <w:tcBorders>
              <w:left w:val="single" w:sz="6"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510" w:hRule="atLeast"/>
        </w:trPr>
        <w:tc>
          <w:tcPr>
            <w:tcW w:w="633" w:type="dxa"/>
            <w:tcBorders>
              <w:left w:val="single" w:sz="6"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FFFFFF" w:val="clear"/>
            <w:vAlign w:val="center"/>
          </w:tcPr>
          <w:p>
            <w:pPr>
              <w:pStyle w:val="Contenutotabella"/>
              <w:jc w:val="left"/>
              <w:rPr>
                <w:color w:val="000000"/>
                <w:sz w:val="27"/>
              </w:rPr>
            </w:pPr>
            <w:r>
              <w:rPr>
                <w:b/>
                <w:color w:val="000000"/>
                <w:sz w:val="20"/>
                <w:szCs w:val="20"/>
              </w:rPr>
              <w:t>10</w:t>
            </w:r>
            <w:r>
              <w:rPr>
                <w:color w:val="000000"/>
                <w:sz w:val="27"/>
              </w:rPr>
              <w:t> </w:t>
            </w:r>
          </w:p>
        </w:tc>
        <w:tc>
          <w:tcPr>
            <w:tcW w:w="61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2"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67"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5"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74" w:type="dxa"/>
            <w:gridSpan w:val="2"/>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r>
      <w:tr>
        <w:trPr>
          <w:trHeight w:val="450" w:hRule="atLeast"/>
        </w:trPr>
        <w:tc>
          <w:tcPr>
            <w:tcW w:w="633" w:type="dxa"/>
            <w:tcBorders>
              <w:left w:val="single" w:sz="6"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390" w:hRule="atLeast"/>
        </w:trPr>
        <w:tc>
          <w:tcPr>
            <w:tcW w:w="633" w:type="dxa"/>
            <w:tcBorders>
              <w:left w:val="single" w:sz="6"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shd w:fill="000000"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405" w:hRule="atLeast"/>
        </w:trPr>
        <w:tc>
          <w:tcPr>
            <w:tcW w:w="633" w:type="dxa"/>
            <w:tcBorders>
              <w:left w:val="single" w:sz="6"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shd w:fill="000000"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rHeight w:val="450" w:hRule="atLeast"/>
        </w:trPr>
        <w:tc>
          <w:tcPr>
            <w:tcW w:w="633" w:type="dxa"/>
            <w:tcBorders>
              <w:left w:val="single" w:sz="6" w:space="0" w:color="808080"/>
              <w:bottom w:val="single" w:sz="6"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600" w:type="dxa"/>
            <w:tcBorders/>
            <w:shd w:fill="000000" w:val="clear"/>
            <w:vAlign w:val="center"/>
          </w:tcPr>
          <w:p>
            <w:pPr>
              <w:pStyle w:val="Contenutotabella"/>
              <w:jc w:val="center"/>
              <w:rPr>
                <w:color w:val="000000"/>
              </w:rPr>
            </w:pPr>
            <w:r>
              <w:rPr>
                <w:color w:val="000000"/>
              </w:rPr>
              <w:t> </w:t>
            </w:r>
          </w:p>
        </w:tc>
        <w:tc>
          <w:tcPr>
            <w:tcW w:w="686" w:type="dxa"/>
            <w:tcBorders/>
            <w:shd w:fill="000000" w:val="clear"/>
            <w:vAlign w:val="center"/>
          </w:tcPr>
          <w:p>
            <w:pPr>
              <w:pStyle w:val="Contenutotabella"/>
              <w:jc w:val="center"/>
              <w:rPr>
                <w:color w:val="000000"/>
              </w:rPr>
            </w:pPr>
            <w:r>
              <w:rPr>
                <w:color w:val="000000"/>
              </w:rPr>
              <w:t> </w:t>
            </w:r>
          </w:p>
        </w:tc>
        <w:tc>
          <w:tcPr>
            <w:tcW w:w="666"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618" w:type="dxa"/>
            <w:tcBorders/>
            <w:shd w:fill="000000" w:val="clear"/>
            <w:vAlign w:val="center"/>
          </w:tcPr>
          <w:p>
            <w:pPr>
              <w:pStyle w:val="Contenutotabella"/>
              <w:jc w:val="center"/>
              <w:rPr>
                <w:color w:val="000000"/>
              </w:rPr>
            </w:pPr>
            <w:r>
              <w:rPr>
                <w:color w:val="000000"/>
              </w:rPr>
              <w:t> </w:t>
            </w:r>
          </w:p>
        </w:tc>
        <w:tc>
          <w:tcPr>
            <w:tcW w:w="731" w:type="dxa"/>
            <w:tcBorders/>
            <w:shd w:fill="000000" w:val="clear"/>
            <w:vAlign w:val="center"/>
          </w:tcPr>
          <w:p>
            <w:pPr>
              <w:pStyle w:val="Contenutotabella"/>
              <w:jc w:val="center"/>
              <w:rPr>
                <w:color w:val="000000"/>
              </w:rPr>
            </w:pPr>
            <w:r>
              <w:rPr>
                <w:color w:val="000000"/>
              </w:rPr>
              <w:t> </w:t>
            </w:r>
          </w:p>
        </w:tc>
        <w:tc>
          <w:tcPr>
            <w:tcW w:w="683" w:type="dxa"/>
            <w:tcBorders/>
            <w:shd w:fill="000000" w:val="clear"/>
            <w:vAlign w:val="center"/>
          </w:tcPr>
          <w:p>
            <w:pPr>
              <w:pStyle w:val="Contenutotabella"/>
              <w:jc w:val="center"/>
              <w:rPr>
                <w:color w:val="000000"/>
              </w:rPr>
            </w:pPr>
            <w:r>
              <w:rPr>
                <w:color w:val="000000"/>
              </w:rPr>
              <w:t> </w:t>
            </w:r>
          </w:p>
        </w:tc>
        <w:tc>
          <w:tcPr>
            <w:tcW w:w="733" w:type="dxa"/>
            <w:tcBorders/>
            <w:shd w:fill="000000" w:val="clear"/>
            <w:vAlign w:val="center"/>
          </w:tcPr>
          <w:p>
            <w:pPr>
              <w:pStyle w:val="Contenutotabella"/>
              <w:jc w:val="center"/>
              <w:rPr>
                <w:color w:val="000000"/>
              </w:rPr>
            </w:pPr>
            <w:r>
              <w:rPr>
                <w:color w:val="000000"/>
              </w:rPr>
              <w:t> </w:t>
            </w:r>
          </w:p>
        </w:tc>
        <w:tc>
          <w:tcPr>
            <w:tcW w:w="682" w:type="dxa"/>
            <w:tcBorders/>
            <w:shd w:fill="000000" w:val="clear"/>
            <w:vAlign w:val="center"/>
          </w:tcPr>
          <w:p>
            <w:pPr>
              <w:pStyle w:val="Contenutotabella"/>
              <w:jc w:val="center"/>
              <w:rPr>
                <w:color w:val="000000"/>
              </w:rPr>
            </w:pPr>
            <w:r>
              <w:rPr>
                <w:color w:val="000000"/>
              </w:rPr>
              <w:t> </w:t>
            </w:r>
          </w:p>
        </w:tc>
        <w:tc>
          <w:tcPr>
            <w:tcW w:w="667" w:type="dxa"/>
            <w:tcBorders/>
            <w:shd w:fill="000000" w:val="clear"/>
            <w:vAlign w:val="center"/>
          </w:tcPr>
          <w:p>
            <w:pPr>
              <w:pStyle w:val="Contenutotabella"/>
              <w:jc w:val="center"/>
              <w:rPr>
                <w:color w:val="000000"/>
              </w:rPr>
            </w:pPr>
            <w:r>
              <w:rPr>
                <w:color w:val="000000"/>
              </w:rPr>
              <w:t> </w:t>
            </w:r>
          </w:p>
        </w:tc>
        <w:tc>
          <w:tcPr>
            <w:tcW w:w="685" w:type="dxa"/>
            <w:tcBorders/>
            <w:shd w:fill="000000" w:val="clear"/>
            <w:vAlign w:val="center"/>
          </w:tcPr>
          <w:p>
            <w:pPr>
              <w:pStyle w:val="Contenutotabella"/>
              <w:jc w:val="center"/>
              <w:rPr>
                <w:color w:val="000000"/>
              </w:rPr>
            </w:pPr>
            <w:r>
              <w:rPr>
                <w:color w:val="000000"/>
              </w:rPr>
              <w:t> </w:t>
            </w:r>
          </w:p>
        </w:tc>
        <w:tc>
          <w:tcPr>
            <w:tcW w:w="674" w:type="dxa"/>
            <w:gridSpan w:val="2"/>
            <w:tcBorders/>
            <w:shd w:fill="000000" w:val="clear"/>
            <w:vAlign w:val="center"/>
          </w:tcPr>
          <w:p>
            <w:pPr>
              <w:pStyle w:val="Contenutotabella"/>
              <w:jc w:val="center"/>
              <w:rPr>
                <w:color w:val="000000"/>
              </w:rPr>
            </w:pPr>
            <w:r>
              <w:rPr>
                <w:color w:val="000000"/>
              </w:rPr>
              <w:t> </w:t>
            </w:r>
          </w:p>
        </w:tc>
      </w:tr>
      <w:tr>
        <w:trPr/>
        <w:tc>
          <w:tcPr>
            <w:tcW w:w="8731" w:type="dxa"/>
            <w:gridSpan w:val="14"/>
            <w:tcBorders/>
          </w:tcPr>
          <w:tbl>
            <w:tblPr>
              <w:tblW w:w="8055" w:type="dxa"/>
              <w:jc w:val="left"/>
              <w:tblInd w:w="0" w:type="dxa"/>
              <w:tblCellMar>
                <w:top w:w="28" w:type="dxa"/>
                <w:left w:w="28" w:type="dxa"/>
                <w:bottom w:w="28" w:type="dxa"/>
                <w:right w:w="28" w:type="dxa"/>
              </w:tblCellMar>
            </w:tblPr>
            <w:tblGrid>
              <w:gridCol w:w="240"/>
              <w:gridCol w:w="136"/>
              <w:gridCol w:w="7678"/>
            </w:tblGrid>
            <w:tr>
              <w:trPr/>
              <w:tc>
                <w:tcPr>
                  <w:tcW w:w="8054" w:type="dxa"/>
                  <w:gridSpan w:val="3"/>
                  <w:tcBorders/>
                  <w:vAlign w:val="center"/>
                </w:tcPr>
                <w:p>
                  <w:pPr>
                    <w:pStyle w:val="Titolo3"/>
                    <w:numPr>
                      <w:ilvl w:val="0"/>
                      <w:numId w:val="0"/>
                    </w:numPr>
                    <w:spacing w:before="140" w:after="120"/>
                    <w:ind w:left="0" w:hanging="0"/>
                    <w:outlineLvl w:val="2"/>
                    <w:rPr/>
                  </w:pPr>
                  <w:r>
                    <w:rPr/>
                    <w:t>Vertical :</w:t>
                  </w:r>
                </w:p>
              </w:tc>
            </w:tr>
            <w:tr>
              <w:trPr/>
              <w:tc>
                <w:tcPr>
                  <w:tcW w:w="376" w:type="dxa"/>
                  <w:gridSpan w:val="2"/>
                  <w:tcBorders/>
                  <w:tcMar>
                    <w:top w:w="0" w:type="dxa"/>
                    <w:left w:w="0" w:type="dxa"/>
                    <w:bottom w:w="0" w:type="dxa"/>
                    <w:right w:w="0" w:type="dxa"/>
                  </w:tcMar>
                  <w:vAlign w:val="center"/>
                </w:tcPr>
                <w:p>
                  <w:pPr>
                    <w:pStyle w:val="Contenutotabella"/>
                    <w:rPr>
                      <w:b/>
                      <w:b/>
                      <w:sz w:val="27"/>
                    </w:rPr>
                  </w:pPr>
                  <w:r>
                    <w:rPr>
                      <w:b/>
                      <w:sz w:val="27"/>
                    </w:rPr>
                    <w:t>2</w:t>
                  </w:r>
                </w:p>
              </w:tc>
              <w:tc>
                <w:tcPr>
                  <w:tcW w:w="7678" w:type="dxa"/>
                  <w:tcBorders/>
                  <w:vAlign w:val="center"/>
                </w:tcPr>
                <w:p>
                  <w:pPr>
                    <w:pStyle w:val="Contenutotabella"/>
                    <w:rPr/>
                  </w:pPr>
                  <w:r>
                    <w:rPr/>
                    <w:t>Le frottement crée une...</w:t>
                  </w:r>
                </w:p>
              </w:tc>
            </w:tr>
            <w:tr>
              <w:trPr/>
              <w:tc>
                <w:tcPr>
                  <w:tcW w:w="376" w:type="dxa"/>
                  <w:gridSpan w:val="2"/>
                  <w:tcBorders/>
                  <w:tcMar>
                    <w:top w:w="0" w:type="dxa"/>
                    <w:left w:w="0" w:type="dxa"/>
                    <w:bottom w:w="0" w:type="dxa"/>
                    <w:right w:w="0" w:type="dxa"/>
                  </w:tcMar>
                  <w:vAlign w:val="center"/>
                </w:tcPr>
                <w:p>
                  <w:pPr>
                    <w:pStyle w:val="Contenutotabella"/>
                    <w:rPr>
                      <w:b/>
                      <w:b/>
                      <w:sz w:val="27"/>
                    </w:rPr>
                  </w:pPr>
                  <w:r>
                    <w:rPr>
                      <w:b/>
                      <w:sz w:val="27"/>
                    </w:rPr>
                    <w:t>6</w:t>
                  </w:r>
                </w:p>
              </w:tc>
              <w:tc>
                <w:tcPr>
                  <w:tcW w:w="7678" w:type="dxa"/>
                  <w:tcBorders/>
                  <w:vAlign w:val="center"/>
                </w:tcPr>
                <w:p>
                  <w:pPr>
                    <w:pStyle w:val="Contenutotabella"/>
                    <w:rPr/>
                  </w:pPr>
                  <w:r>
                    <w:rPr/>
                    <w:t>Ce qui peut être contrôlé est ...</w:t>
                  </w:r>
                </w:p>
              </w:tc>
            </w:tr>
            <w:tr>
              <w:trPr/>
              <w:tc>
                <w:tcPr>
                  <w:tcW w:w="376" w:type="dxa"/>
                  <w:gridSpan w:val="2"/>
                  <w:tcBorders/>
                  <w:tcMar>
                    <w:top w:w="0" w:type="dxa"/>
                    <w:left w:w="0" w:type="dxa"/>
                    <w:bottom w:w="0" w:type="dxa"/>
                    <w:right w:w="0" w:type="dxa"/>
                  </w:tcMar>
                  <w:vAlign w:val="center"/>
                </w:tcPr>
                <w:p>
                  <w:pPr>
                    <w:pStyle w:val="Contenutotabella"/>
                    <w:rPr>
                      <w:b/>
                      <w:b/>
                      <w:sz w:val="27"/>
                    </w:rPr>
                  </w:pPr>
                  <w:r>
                    <w:rPr>
                      <w:b/>
                      <w:sz w:val="27"/>
                    </w:rPr>
                    <w:t>7</w:t>
                  </w:r>
                </w:p>
              </w:tc>
              <w:tc>
                <w:tcPr>
                  <w:tcW w:w="7678" w:type="dxa"/>
                  <w:tcBorders/>
                  <w:vAlign w:val="center"/>
                </w:tcPr>
                <w:p>
                  <w:pPr>
                    <w:pStyle w:val="Contenutotabella"/>
                    <w:rPr/>
                  </w:pPr>
                  <w:r>
                    <w:rPr/>
                    <w:t>Organe sensoriel</w:t>
                  </w:r>
                </w:p>
              </w:tc>
            </w:tr>
            <w:tr>
              <w:trPr/>
              <w:tc>
                <w:tcPr>
                  <w:tcW w:w="376" w:type="dxa"/>
                  <w:gridSpan w:val="2"/>
                  <w:tcBorders/>
                  <w:tcMar>
                    <w:top w:w="0" w:type="dxa"/>
                    <w:left w:w="0" w:type="dxa"/>
                    <w:bottom w:w="0" w:type="dxa"/>
                    <w:right w:w="0" w:type="dxa"/>
                  </w:tcMar>
                  <w:vAlign w:val="center"/>
                </w:tcPr>
                <w:p>
                  <w:pPr>
                    <w:pStyle w:val="Contenutotabella"/>
                    <w:rPr>
                      <w:b/>
                      <w:b/>
                      <w:sz w:val="27"/>
                    </w:rPr>
                  </w:pPr>
                  <w:r>
                    <w:rPr>
                      <w:b/>
                      <w:sz w:val="27"/>
                    </w:rPr>
                    <w:t>8</w:t>
                  </w:r>
                </w:p>
              </w:tc>
              <w:tc>
                <w:tcPr>
                  <w:tcW w:w="7678" w:type="dxa"/>
                  <w:tcBorders/>
                  <w:vAlign w:val="center"/>
                </w:tcPr>
                <w:p>
                  <w:pPr>
                    <w:pStyle w:val="Contenutotabella"/>
                    <w:rPr/>
                  </w:pPr>
                  <w:r>
                    <w:rPr/>
                    <w:t>Le contraire de la préposition de lieu "hors"</w:t>
                  </w:r>
                </w:p>
              </w:tc>
            </w:tr>
            <w:tr>
              <w:trPr/>
              <w:tc>
                <w:tcPr>
                  <w:tcW w:w="376" w:type="dxa"/>
                  <w:gridSpan w:val="2"/>
                  <w:tcBorders/>
                  <w:tcMar>
                    <w:top w:w="0" w:type="dxa"/>
                    <w:left w:w="0" w:type="dxa"/>
                    <w:bottom w:w="0" w:type="dxa"/>
                    <w:right w:w="0" w:type="dxa"/>
                  </w:tcMar>
                  <w:vAlign w:val="center"/>
                </w:tcPr>
                <w:p>
                  <w:pPr>
                    <w:pStyle w:val="Contenutotabella"/>
                    <w:rPr>
                      <w:b/>
                      <w:b/>
                      <w:sz w:val="27"/>
                    </w:rPr>
                  </w:pPr>
                  <w:r>
                    <w:rPr>
                      <w:b/>
                      <w:sz w:val="27"/>
                    </w:rPr>
                    <w:t>10</w:t>
                  </w:r>
                </w:p>
              </w:tc>
              <w:tc>
                <w:tcPr>
                  <w:tcW w:w="7678" w:type="dxa"/>
                  <w:tcBorders/>
                  <w:vAlign w:val="center"/>
                </w:tcPr>
                <w:p>
                  <w:pPr>
                    <w:pStyle w:val="Contenutotabella"/>
                    <w:rPr/>
                  </w:pPr>
                  <w:r>
                    <w:rPr/>
                    <w:t>Le travailleur l'est, l'oiseau aussi</w:t>
                  </w:r>
                </w:p>
              </w:tc>
            </w:tr>
            <w:tr>
              <w:trPr/>
              <w:tc>
                <w:tcPr>
                  <w:tcW w:w="8054" w:type="dxa"/>
                  <w:gridSpan w:val="3"/>
                  <w:tcBorders/>
                  <w:vAlign w:val="center"/>
                </w:tcPr>
                <w:p>
                  <w:pPr>
                    <w:pStyle w:val="Titolo3"/>
                    <w:numPr>
                      <w:ilvl w:val="0"/>
                      <w:numId w:val="0"/>
                    </w:numPr>
                    <w:spacing w:before="140" w:after="120"/>
                    <w:ind w:left="0" w:hanging="0"/>
                    <w:outlineLvl w:val="2"/>
                    <w:rPr/>
                  </w:pPr>
                  <w:r>
                    <w:rPr/>
                    <w:t>Horizontal :</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1</w:t>
                  </w:r>
                </w:p>
              </w:tc>
              <w:tc>
                <w:tcPr>
                  <w:tcW w:w="7814" w:type="dxa"/>
                  <w:gridSpan w:val="2"/>
                  <w:tcBorders/>
                  <w:vAlign w:val="center"/>
                </w:tcPr>
                <w:p>
                  <w:pPr>
                    <w:pStyle w:val="Contenutotabella"/>
                    <w:rPr/>
                  </w:pPr>
                  <w:r>
                    <w:rPr/>
                    <w:t>On pèse des objets ou des mots à l'aide d'une...</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3</w:t>
                  </w:r>
                </w:p>
              </w:tc>
              <w:tc>
                <w:tcPr>
                  <w:tcW w:w="7814" w:type="dxa"/>
                  <w:gridSpan w:val="2"/>
                  <w:tcBorders/>
                  <w:vAlign w:val="center"/>
                </w:tcPr>
                <w:p>
                  <w:pPr>
                    <w:pStyle w:val="Contenutotabella"/>
                    <w:rPr/>
                  </w:pPr>
                  <w:r>
                    <w:rPr/>
                    <w:t>Le contraire de "méfait"</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4</w:t>
                  </w:r>
                </w:p>
              </w:tc>
              <w:tc>
                <w:tcPr>
                  <w:tcW w:w="7814" w:type="dxa"/>
                  <w:gridSpan w:val="2"/>
                  <w:tcBorders/>
                  <w:vAlign w:val="center"/>
                </w:tcPr>
                <w:p>
                  <w:pPr>
                    <w:pStyle w:val="Contenutotabella"/>
                    <w:rPr/>
                  </w:pPr>
                  <w:r>
                    <w:rPr/>
                    <w:t>Avoir une perte ou un ...</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5</w:t>
                  </w:r>
                </w:p>
              </w:tc>
              <w:tc>
                <w:tcPr>
                  <w:tcW w:w="7814" w:type="dxa"/>
                  <w:gridSpan w:val="2"/>
                  <w:tcBorders/>
                  <w:vAlign w:val="center"/>
                </w:tcPr>
                <w:p>
                  <w:pPr>
                    <w:pStyle w:val="Contenutotabella"/>
                    <w:rPr/>
                  </w:pPr>
                  <w:r>
                    <w:rPr/>
                    <w:t>Mélanger est une autre manière de ...</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9</w:t>
                  </w:r>
                </w:p>
              </w:tc>
              <w:tc>
                <w:tcPr>
                  <w:tcW w:w="7814" w:type="dxa"/>
                  <w:gridSpan w:val="2"/>
                  <w:tcBorders/>
                  <w:vAlign w:val="center"/>
                </w:tcPr>
                <w:p>
                  <w:pPr>
                    <w:pStyle w:val="Contenutotabella"/>
                    <w:rPr/>
                  </w:pPr>
                  <w:r>
                    <w:rPr/>
                    <w:t>Economiste anglais célèbre du XVIIIème siècle</w:t>
                  </w:r>
                </w:p>
              </w:tc>
            </w:tr>
          </w:tbl>
          <w:p>
            <w:pPr>
              <w:pStyle w:val="Contenutotabella"/>
              <w:rPr/>
            </w:pPr>
            <w:r>
              <w:rPr/>
            </w:r>
          </w:p>
        </w:tc>
        <w:tc>
          <w:tcPr>
            <w:tcW w:w="628" w:type="dxa"/>
            <w:tcBorders/>
          </w:tcPr>
          <w:p>
            <w:pPr>
              <w:pStyle w:val="Contenutotabella"/>
              <w:rPr>
                <w:sz w:val="4"/>
                <w:szCs w:val="4"/>
              </w:rPr>
            </w:pPr>
            <w:r>
              <w:rPr>
                <w:sz w:val="4"/>
                <w:szCs w:val="4"/>
              </w:rPr>
            </w:r>
          </w:p>
        </w:tc>
      </w:tr>
    </w:tbl>
    <w:p>
      <w:pPr>
        <w:pStyle w:val="Contenutotabella"/>
        <w:rPr>
          <w:sz w:val="36"/>
          <w:szCs w:val="36"/>
        </w:rPr>
      </w:pPr>
      <w:r>
        <w:rPr/>
      </w:r>
    </w:p>
    <w:sectPr>
      <w:headerReference w:type="default" r:id="rId6"/>
      <w:type w:val="nextPage"/>
      <w:pgSz w:w="12240" w:h="15840"/>
      <w:pgMar w:left="1134" w:right="1134" w:header="1134" w:top="1648"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Oswald">
    <w:charset w:val="00"/>
    <w:family w:val="roman"/>
    <w:pitch w:val="variable"/>
  </w:font>
  <w:font w:name="Geneva">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sz w:val="20"/>
        <w:szCs w:val="20"/>
      </w:rPr>
    </w:pPr>
    <w:r>
      <w:rPr>
        <w:sz w:val="20"/>
        <w:szCs w:val="20"/>
      </w:rPr>
      <w:t>Dott. Patrick Henrard – patrick.henrard@unimib.it</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en-US" w:eastAsia="zh-CN" w:bidi="hi-IN"/>
    </w:rPr>
  </w:style>
  <w:style w:type="paragraph" w:styleId="Titolo1">
    <w:name w:val="Heading 1"/>
    <w:basedOn w:val="Titoloprincipale"/>
    <w:qFormat/>
    <w:pPr>
      <w:outlineLvl w:val="0"/>
    </w:pPr>
    <w:rPr>
      <w:rFonts w:ascii="Liberation Serif" w:hAnsi="Liberation Serif" w:eastAsia="SimSun" w:cs="Lucida Sans"/>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NSimSun" w:cs="Lucida Sans"/>
      <w:b/>
      <w:bCs/>
      <w:sz w:val="36"/>
      <w:szCs w:val="36"/>
    </w:rPr>
  </w:style>
  <w:style w:type="paragraph" w:styleId="Titolo3">
    <w:name w:val="Heading 3"/>
    <w:basedOn w:val="Titoloprincipale"/>
    <w:qFormat/>
    <w:pPr>
      <w:spacing w:before="140" w:after="120"/>
      <w:outlineLvl w:val="2"/>
    </w:pPr>
    <w:rPr>
      <w:rFonts w:ascii="Liberation Serif" w:hAnsi="Liberation Serif" w:eastAsia="SimSun" w:cs="Lucida Sans"/>
      <w:b/>
      <w:bCs/>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character" w:styleId="Enfasi" w:customStyle="1">
    <w:name w:val="Enfasi"/>
    <w:qFormat/>
    <w:rPr>
      <w:i/>
      <w:iCs/>
    </w:rPr>
  </w:style>
  <w:style w:type="character" w:styleId="Enfasiforte" w:customStyle="1">
    <w:name w:val="Enfasi forte"/>
    <w:qFormat/>
    <w:rPr>
      <w:b/>
      <w:bCs/>
    </w:rPr>
  </w:style>
  <w:style w:type="character" w:styleId="TestofumettoCarattere" w:customStyle="1">
    <w:name w:val="Testo fumetto Carattere"/>
    <w:basedOn w:val="DefaultParagraphFont"/>
    <w:link w:val="Testofumetto"/>
    <w:uiPriority w:val="99"/>
    <w:semiHidden/>
    <w:qFormat/>
    <w:rsid w:val="00c62386"/>
    <w:rPr>
      <w:rFonts w:ascii="Segoe UI" w:hAnsi="Segoe UI"/>
      <w:sz w:val="18"/>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Testocitato" w:customStyle="1">
    <w:name w:val="Testo citato"/>
    <w:basedOn w:val="Normal"/>
    <w:qFormat/>
    <w:pPr>
      <w:spacing w:before="0" w:after="283"/>
      <w:ind w:left="567" w:right="567" w:hanging="0"/>
    </w:pPr>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BalloonText">
    <w:name w:val="Balloon Text"/>
    <w:basedOn w:val="Normal"/>
    <w:link w:val="TestofumettoCarattere"/>
    <w:uiPriority w:val="99"/>
    <w:semiHidden/>
    <w:unhideWhenUsed/>
    <w:qFormat/>
    <w:rsid w:val="00c62386"/>
    <w:pPr/>
    <w:rPr>
      <w:rFonts w:ascii="Segoe UI" w:hAnsi="Segoe UI"/>
      <w:sz w:val="18"/>
      <w:szCs w:val="16"/>
    </w:rPr>
  </w:style>
  <w:style w:type="paragraph" w:styleId="Intestazioneepidipagina">
    <w:name w:val="Intestazione e piè di pagina"/>
    <w:basedOn w:val="Normal"/>
    <w:qFormat/>
    <w:pPr>
      <w:suppressLineNumbers/>
      <w:tabs>
        <w:tab w:val="clear" w:pos="709"/>
        <w:tab w:val="center" w:pos="4986" w:leader="none"/>
        <w:tab w:val="right" w:pos="9972" w:leader="none"/>
      </w:tabs>
    </w:pPr>
    <w:rPr/>
  </w:style>
  <w:style w:type="paragraph" w:styleId="Intestazione">
    <w:name w:val="Header"/>
    <w:basedOn w:val="Intestazioneepidipagina"/>
    <w:pPr>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late.fr/source/eric-le-boucher" TargetMode="External"/><Relationship Id="rId4" Type="http://schemas.openxmlformats.org/officeDocument/2006/relationships/hyperlink" Target="http://www.voxeu.org/article/labour-market-effects-migration-oecd-countries" TargetMode="External"/><Relationship Id="rId5" Type="http://schemas.openxmlformats.org/officeDocument/2006/relationships/hyperlink" Target="http://www.lemonde.fr/planete/article/2014/05/29/230-millions-de-migrants-dans-le-monde-des-flux-qui-ne-cessent-d-augmenter_4428870_3244.html"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LibreOffice/6.4.3.2$Windows_X86_64 LibreOffice_project/747b5d0ebf89f41c860ec2a39efd7cb15b54f2d8</Application>
  <Pages>5</Pages>
  <Words>1213</Words>
  <Characters>6449</Characters>
  <CharactersWithSpaces>7863</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2017-10-20T23:40:00Z</dcterms:created>
  <dc:creator/>
  <dc:description/>
  <dc:language>it-IT</dc:language>
  <cp:lastModifiedBy/>
  <cp:lastPrinted>2018-05-25T07:34:00Z</cp:lastPrinted>
  <dcterms:modified xsi:type="dcterms:W3CDTF">2020-05-09T14:52:49Z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