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8F" w:rsidRPr="00176FF9" w:rsidRDefault="00B82F8F" w:rsidP="00C3367F">
      <w:pPr>
        <w:ind w:left="709" w:hanging="709"/>
        <w:rPr>
          <w:rFonts w:ascii="Garamond" w:hAnsi="Garamond"/>
          <w:bCs/>
          <w:sz w:val="28"/>
          <w:szCs w:val="28"/>
        </w:rPr>
      </w:pPr>
    </w:p>
    <w:p w:rsidR="00C3367F" w:rsidRPr="00176FF9" w:rsidRDefault="00C3367F" w:rsidP="00C3367F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>Emilio Lussu (Armungia, 4 dicembre 1890 – Roma, 5 marzo 1974)</w:t>
      </w:r>
    </w:p>
    <w:p w:rsidR="00FE5271" w:rsidRPr="00176FF9" w:rsidRDefault="00FE5271" w:rsidP="00B82F8F">
      <w:pPr>
        <w:rPr>
          <w:rFonts w:ascii="Garamond" w:hAnsi="Garamond"/>
          <w:bCs/>
          <w:sz w:val="28"/>
          <w:szCs w:val="28"/>
        </w:rPr>
      </w:pPr>
    </w:p>
    <w:p w:rsidR="00C3367F" w:rsidRPr="00176FF9" w:rsidRDefault="00C3367F" w:rsidP="00C3367F">
      <w:pPr>
        <w:ind w:left="709" w:hanging="709"/>
        <w:rPr>
          <w:rFonts w:ascii="Garamond" w:hAnsi="Garamond"/>
          <w:bCs/>
          <w:i/>
          <w:sz w:val="28"/>
          <w:szCs w:val="28"/>
        </w:rPr>
      </w:pPr>
    </w:p>
    <w:p w:rsidR="002E7D62" w:rsidRPr="00176FF9" w:rsidRDefault="002E7D62" w:rsidP="00C3367F">
      <w:pPr>
        <w:ind w:left="709" w:hanging="709"/>
        <w:rPr>
          <w:rFonts w:ascii="Garamond" w:hAnsi="Garamond"/>
          <w:bCs/>
          <w:i/>
          <w:sz w:val="28"/>
          <w:szCs w:val="28"/>
        </w:rPr>
      </w:pPr>
    </w:p>
    <w:p w:rsidR="0028047C" w:rsidRPr="00176FF9" w:rsidRDefault="0028047C" w:rsidP="0028047C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>1930:</w:t>
      </w:r>
      <w:r w:rsidRPr="00176FF9">
        <w:rPr>
          <w:rFonts w:ascii="Garamond" w:hAnsi="Garamond"/>
          <w:bCs/>
          <w:sz w:val="28"/>
          <w:szCs w:val="28"/>
        </w:rPr>
        <w:tab/>
      </w:r>
      <w:r w:rsidRPr="00176FF9">
        <w:rPr>
          <w:rFonts w:ascii="Garamond" w:hAnsi="Garamond"/>
          <w:bCs/>
          <w:i/>
          <w:sz w:val="28"/>
          <w:szCs w:val="28"/>
        </w:rPr>
        <w:t>La catena</w:t>
      </w:r>
      <w:r w:rsidRPr="00176FF9">
        <w:rPr>
          <w:rFonts w:ascii="Garamond" w:hAnsi="Garamond"/>
          <w:bCs/>
          <w:sz w:val="28"/>
          <w:szCs w:val="28"/>
        </w:rPr>
        <w:t>, Parigi, Edizioni di Giustizia e Libertà</w:t>
      </w:r>
    </w:p>
    <w:p w:rsidR="0028047C" w:rsidRPr="00176FF9" w:rsidRDefault="0028047C" w:rsidP="0028047C">
      <w:pPr>
        <w:ind w:left="709" w:hanging="1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1945: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La catena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Roma, U.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>1931:</w:t>
      </w:r>
      <w:r w:rsidRPr="00176FF9">
        <w:rPr>
          <w:rFonts w:ascii="Garamond" w:hAnsi="Garamond"/>
          <w:bCs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Marcia su Roma e dintorni: fascismo visto da vicino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Parigi, Critica</w:t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 xml:space="preserve"> 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  <w:t xml:space="preserve">1932: </w:t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 xml:space="preserve">The March on Rome and </w:t>
      </w:r>
      <w:proofErr w:type="spellStart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Thereabouts</w:t>
      </w:r>
      <w:proofErr w:type="spellEnd"/>
      <w:r w:rsidRPr="00176FF9">
        <w:rPr>
          <w:rFonts w:ascii="Garamond" w:hAnsi="Garamond"/>
          <w:bCs/>
          <w:color w:val="000000" w:themeColor="text1"/>
          <w:sz w:val="28"/>
          <w:szCs w:val="28"/>
        </w:rPr>
        <w:t xml:space="preserve">, </w:t>
      </w:r>
      <w:proofErr w:type="spellStart"/>
      <w:r w:rsidRPr="00176FF9">
        <w:rPr>
          <w:rFonts w:ascii="Garamond" w:hAnsi="Garamond"/>
          <w:bCs/>
          <w:color w:val="000000" w:themeColor="text1"/>
          <w:sz w:val="28"/>
          <w:szCs w:val="28"/>
        </w:rPr>
        <w:t>London</w:t>
      </w:r>
      <w:proofErr w:type="spellEnd"/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  <w:t xml:space="preserve">1935: </w:t>
      </w:r>
      <w:proofErr w:type="gramStart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La marche</w:t>
      </w:r>
      <w:proofErr w:type="gramEnd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sur</w:t>
      </w:r>
      <w:proofErr w:type="spellEnd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 xml:space="preserve"> Rome… et </w:t>
      </w:r>
      <w:proofErr w:type="spellStart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autres</w:t>
      </w:r>
      <w:proofErr w:type="spellEnd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lieux</w:t>
      </w:r>
      <w:proofErr w:type="spellEnd"/>
      <w:r w:rsidRPr="00176FF9">
        <w:rPr>
          <w:rFonts w:ascii="Garamond" w:hAnsi="Garamond"/>
          <w:bCs/>
          <w:color w:val="000000" w:themeColor="text1"/>
          <w:sz w:val="28"/>
          <w:szCs w:val="28"/>
        </w:rPr>
        <w:t>, Paris, Gallimard</w:t>
      </w:r>
    </w:p>
    <w:p w:rsidR="0028047C" w:rsidRPr="00176FF9" w:rsidRDefault="0028047C" w:rsidP="0028047C">
      <w:pPr>
        <w:ind w:left="709" w:hanging="1"/>
        <w:rPr>
          <w:rFonts w:ascii="Garamond" w:hAnsi="Garamond"/>
          <w:bCs/>
          <w:color w:val="000000" w:themeColor="text1"/>
          <w:sz w:val="28"/>
          <w:szCs w:val="28"/>
        </w:rPr>
      </w:pPr>
      <w:bookmarkStart w:id="0" w:name="_GoBack"/>
      <w:r w:rsidRPr="00176FF9">
        <w:rPr>
          <w:rFonts w:ascii="Garamond" w:hAnsi="Garamond"/>
          <w:bCs/>
          <w:color w:val="000000" w:themeColor="text1"/>
          <w:sz w:val="28"/>
          <w:szCs w:val="28"/>
        </w:rPr>
        <w:t>1945: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Marcia su Roma e dintorni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Torino, Einaudi</w:t>
      </w:r>
    </w:p>
    <w:bookmarkEnd w:id="0"/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1936: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Teoria dell’insurrezione: saggio critico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Parigi, Giustizia e Libertà</w:t>
      </w:r>
    </w:p>
    <w:p w:rsidR="0028047C" w:rsidRPr="00176FF9" w:rsidRDefault="0028047C" w:rsidP="0028047C">
      <w:pPr>
        <w:ind w:left="709" w:hanging="1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1950:</w:t>
      </w:r>
      <w:r w:rsidR="009B182F" w:rsidRPr="00176FF9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Teoria dell’insurrezione e altri saggi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Roma, De Carlo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1938: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Un anno sull’Altipiano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Parigi, Edizioni italiane di coltura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  <w:t>1945:</w:t>
      </w:r>
      <w:r w:rsidR="009B182F" w:rsidRPr="00176FF9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Un anno sull’Altipiano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Torino, Einaudi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  <w:t>1966:</w:t>
      </w:r>
      <w:r w:rsidR="009B182F" w:rsidRPr="00176FF9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Un anno sull’Altipiano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Torino, Einaudi (</w:t>
      </w:r>
      <w:proofErr w:type="spellStart"/>
      <w:r w:rsidRPr="00176FF9">
        <w:rPr>
          <w:rFonts w:ascii="Garamond" w:hAnsi="Garamond"/>
          <w:bCs/>
          <w:color w:val="000000" w:themeColor="text1"/>
          <w:sz w:val="28"/>
          <w:szCs w:val="28"/>
        </w:rPr>
        <w:t>coll</w:t>
      </w:r>
      <w:proofErr w:type="spellEnd"/>
      <w:r w:rsidRPr="00176FF9">
        <w:rPr>
          <w:rFonts w:ascii="Garamond" w:hAnsi="Garamond"/>
          <w:bCs/>
          <w:color w:val="000000" w:themeColor="text1"/>
          <w:sz w:val="28"/>
          <w:szCs w:val="28"/>
        </w:rPr>
        <w:t>. “Letture per la scuola media”)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1944: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I partiti politici e la ricostruzione dello Stato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 xml:space="preserve">, </w:t>
      </w:r>
      <w:proofErr w:type="spellStart"/>
      <w:r w:rsidRPr="00176FF9">
        <w:rPr>
          <w:rFonts w:ascii="Garamond" w:hAnsi="Garamond"/>
          <w:bCs/>
          <w:color w:val="000000" w:themeColor="text1"/>
          <w:sz w:val="28"/>
          <w:szCs w:val="28"/>
        </w:rPr>
        <w:t>s.i.l</w:t>
      </w:r>
      <w:proofErr w:type="spellEnd"/>
      <w:r w:rsidRPr="00176FF9">
        <w:rPr>
          <w:rFonts w:ascii="Garamond" w:hAnsi="Garamond"/>
          <w:bCs/>
          <w:color w:val="000000" w:themeColor="text1"/>
          <w:sz w:val="28"/>
          <w:szCs w:val="28"/>
        </w:rPr>
        <w:t>., Partito d’Azione</w:t>
      </w:r>
    </w:p>
    <w:p w:rsidR="0028047C" w:rsidRPr="00176FF9" w:rsidRDefault="0028047C" w:rsidP="00D77928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1958: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La clericalizzazione dello Stato e l’arcivescovo di Cagliari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Roma, Tipografia del Senato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1968: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Il cinghiale del diavolo: caccia e magia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Roma, Lerici</w:t>
      </w:r>
    </w:p>
    <w:p w:rsidR="00D77928" w:rsidRPr="00176FF9" w:rsidRDefault="00D77928" w:rsidP="00D77928">
      <w:pPr>
        <w:ind w:left="709" w:hanging="1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1976:</w:t>
      </w:r>
      <w:r w:rsidR="009B182F" w:rsidRPr="00176FF9">
        <w:rPr>
          <w:rFonts w:ascii="Garamond" w:hAnsi="Garamond"/>
          <w:bCs/>
          <w:color w:val="000000" w:themeColor="text1"/>
          <w:sz w:val="28"/>
          <w:szCs w:val="28"/>
        </w:rPr>
        <w:t xml:space="preserve"> </w:t>
      </w:r>
      <w:r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Il cinghiale del diavolo e altri scritti sulla Sardegna</w:t>
      </w:r>
      <w:r w:rsidRPr="00176FF9">
        <w:rPr>
          <w:rFonts w:ascii="Garamond" w:hAnsi="Garamond"/>
          <w:bCs/>
          <w:color w:val="000000" w:themeColor="text1"/>
          <w:sz w:val="28"/>
          <w:szCs w:val="28"/>
        </w:rPr>
        <w:t>, Torino, Einaudi</w:t>
      </w:r>
    </w:p>
    <w:p w:rsidR="0028047C" w:rsidRPr="00176FF9" w:rsidRDefault="00D77928" w:rsidP="0028047C">
      <w:pPr>
        <w:ind w:left="709" w:hanging="709"/>
        <w:rPr>
          <w:rFonts w:ascii="Garamond" w:hAnsi="Garamond"/>
          <w:bCs/>
          <w:color w:val="000000" w:themeColor="text1"/>
          <w:sz w:val="28"/>
          <w:szCs w:val="28"/>
        </w:rPr>
      </w:pPr>
      <w:r w:rsidRPr="00176FF9">
        <w:rPr>
          <w:rFonts w:ascii="Garamond" w:hAnsi="Garamond"/>
          <w:bCs/>
          <w:color w:val="000000" w:themeColor="text1"/>
          <w:sz w:val="28"/>
          <w:szCs w:val="28"/>
        </w:rPr>
        <w:t>1</w:t>
      </w:r>
      <w:r w:rsidR="0028047C" w:rsidRPr="00176FF9">
        <w:rPr>
          <w:rFonts w:ascii="Garamond" w:hAnsi="Garamond"/>
          <w:bCs/>
          <w:color w:val="000000" w:themeColor="text1"/>
          <w:sz w:val="28"/>
          <w:szCs w:val="28"/>
        </w:rPr>
        <w:t>968:</w:t>
      </w:r>
      <w:r w:rsidR="0028047C" w:rsidRPr="00176FF9">
        <w:rPr>
          <w:rFonts w:ascii="Garamond" w:hAnsi="Garamond"/>
          <w:bCs/>
          <w:color w:val="000000" w:themeColor="text1"/>
          <w:sz w:val="28"/>
          <w:szCs w:val="28"/>
        </w:rPr>
        <w:tab/>
      </w:r>
      <w:r w:rsidR="0028047C" w:rsidRPr="00176FF9">
        <w:rPr>
          <w:rFonts w:ascii="Garamond" w:hAnsi="Garamond"/>
          <w:bCs/>
          <w:i/>
          <w:color w:val="000000" w:themeColor="text1"/>
          <w:sz w:val="28"/>
          <w:szCs w:val="28"/>
        </w:rPr>
        <w:t>Sul Partito d’Azione e gli altri: note critiche</w:t>
      </w:r>
      <w:r w:rsidR="0028047C" w:rsidRPr="00176FF9">
        <w:rPr>
          <w:rFonts w:ascii="Garamond" w:hAnsi="Garamond"/>
          <w:bCs/>
          <w:color w:val="000000" w:themeColor="text1"/>
          <w:sz w:val="28"/>
          <w:szCs w:val="28"/>
        </w:rPr>
        <w:t>, Milano, Mursia</w:t>
      </w:r>
    </w:p>
    <w:p w:rsidR="0028047C" w:rsidRPr="00176FF9" w:rsidRDefault="0028047C" w:rsidP="0028047C">
      <w:pPr>
        <w:ind w:left="709" w:hanging="709"/>
        <w:rPr>
          <w:rFonts w:ascii="Garamond" w:hAnsi="Garamond"/>
          <w:bCs/>
          <w:sz w:val="28"/>
          <w:szCs w:val="28"/>
        </w:rPr>
      </w:pPr>
    </w:p>
    <w:p w:rsidR="0028047C" w:rsidRPr="00176FF9" w:rsidRDefault="0028047C" w:rsidP="0028047C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>2008:</w:t>
      </w:r>
      <w:r w:rsidRPr="00176FF9">
        <w:rPr>
          <w:rFonts w:ascii="Garamond" w:hAnsi="Garamond"/>
          <w:bCs/>
          <w:sz w:val="28"/>
          <w:szCs w:val="28"/>
        </w:rPr>
        <w:tab/>
      </w:r>
      <w:r w:rsidRPr="00176FF9">
        <w:rPr>
          <w:rFonts w:ascii="Garamond" w:hAnsi="Garamond"/>
          <w:bCs/>
          <w:i/>
          <w:sz w:val="28"/>
          <w:szCs w:val="28"/>
        </w:rPr>
        <w:t>Tutte le opere</w:t>
      </w:r>
      <w:r w:rsidRPr="00176FF9">
        <w:rPr>
          <w:rFonts w:ascii="Garamond" w:hAnsi="Garamond"/>
          <w:bCs/>
          <w:sz w:val="28"/>
          <w:szCs w:val="28"/>
        </w:rPr>
        <w:t xml:space="preserve">, vol. I: </w:t>
      </w:r>
      <w:r w:rsidRPr="00176FF9">
        <w:rPr>
          <w:rFonts w:ascii="Garamond" w:hAnsi="Garamond"/>
          <w:bCs/>
          <w:i/>
          <w:sz w:val="28"/>
          <w:szCs w:val="28"/>
        </w:rPr>
        <w:t>Da Armungia al Sardismo (1890-1926)</w:t>
      </w:r>
      <w:r w:rsidRPr="00176FF9">
        <w:rPr>
          <w:rFonts w:ascii="Garamond" w:hAnsi="Garamond"/>
          <w:bCs/>
          <w:sz w:val="28"/>
          <w:szCs w:val="28"/>
        </w:rPr>
        <w:t xml:space="preserve">, a cura di G. G. </w:t>
      </w:r>
      <w:proofErr w:type="spellStart"/>
      <w:r w:rsidRPr="00176FF9">
        <w:rPr>
          <w:rFonts w:ascii="Garamond" w:hAnsi="Garamond"/>
          <w:bCs/>
          <w:sz w:val="28"/>
          <w:szCs w:val="28"/>
        </w:rPr>
        <w:t>Ortu</w:t>
      </w:r>
      <w:proofErr w:type="spellEnd"/>
      <w:r w:rsidRPr="00176FF9">
        <w:rPr>
          <w:rFonts w:ascii="Garamond" w:hAnsi="Garamond"/>
          <w:bCs/>
          <w:sz w:val="28"/>
          <w:szCs w:val="28"/>
        </w:rPr>
        <w:t xml:space="preserve">, Cagliari, </w:t>
      </w:r>
      <w:proofErr w:type="spellStart"/>
      <w:r w:rsidRPr="00176FF9">
        <w:rPr>
          <w:rFonts w:ascii="Garamond" w:hAnsi="Garamond"/>
          <w:bCs/>
          <w:sz w:val="28"/>
          <w:szCs w:val="28"/>
        </w:rPr>
        <w:t>Aìsara</w:t>
      </w:r>
      <w:proofErr w:type="spellEnd"/>
    </w:p>
    <w:p w:rsidR="0028047C" w:rsidRPr="00176FF9" w:rsidRDefault="0028047C" w:rsidP="0028047C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>2010:</w:t>
      </w:r>
      <w:r w:rsidRPr="00176FF9">
        <w:rPr>
          <w:rFonts w:ascii="Garamond" w:hAnsi="Garamond"/>
          <w:bCs/>
          <w:sz w:val="28"/>
          <w:szCs w:val="28"/>
        </w:rPr>
        <w:tab/>
      </w:r>
      <w:r w:rsidRPr="00176FF9">
        <w:rPr>
          <w:rFonts w:ascii="Garamond" w:hAnsi="Garamond"/>
          <w:bCs/>
          <w:i/>
          <w:sz w:val="28"/>
          <w:szCs w:val="28"/>
        </w:rPr>
        <w:t>Tutte le opere</w:t>
      </w:r>
      <w:r w:rsidRPr="00176FF9">
        <w:rPr>
          <w:rFonts w:ascii="Garamond" w:hAnsi="Garamond"/>
          <w:bCs/>
          <w:sz w:val="28"/>
          <w:szCs w:val="28"/>
        </w:rPr>
        <w:t xml:space="preserve">, vol. II: </w:t>
      </w:r>
      <w:r w:rsidRPr="00176FF9">
        <w:rPr>
          <w:rFonts w:ascii="Garamond" w:hAnsi="Garamond"/>
          <w:bCs/>
          <w:i/>
          <w:sz w:val="28"/>
          <w:szCs w:val="28"/>
        </w:rPr>
        <w:t>L’esilio antifascista 1927-1943</w:t>
      </w:r>
      <w:r w:rsidRPr="00176FF9">
        <w:rPr>
          <w:rFonts w:ascii="Garamond" w:hAnsi="Garamond"/>
          <w:bCs/>
          <w:sz w:val="28"/>
          <w:szCs w:val="28"/>
        </w:rPr>
        <w:t xml:space="preserve">, a cura di Manlio </w:t>
      </w:r>
      <w:proofErr w:type="spellStart"/>
      <w:r w:rsidRPr="00176FF9">
        <w:rPr>
          <w:rFonts w:ascii="Garamond" w:hAnsi="Garamond"/>
          <w:bCs/>
          <w:sz w:val="28"/>
          <w:szCs w:val="28"/>
        </w:rPr>
        <w:t>Brigaglia</w:t>
      </w:r>
      <w:proofErr w:type="spellEnd"/>
      <w:r w:rsidRPr="00176FF9">
        <w:rPr>
          <w:rFonts w:ascii="Garamond" w:hAnsi="Garamond"/>
          <w:bCs/>
          <w:sz w:val="28"/>
          <w:szCs w:val="28"/>
        </w:rPr>
        <w:t xml:space="preserve">, Cagliari, </w:t>
      </w:r>
      <w:proofErr w:type="spellStart"/>
      <w:r w:rsidRPr="00176FF9">
        <w:rPr>
          <w:rFonts w:ascii="Garamond" w:hAnsi="Garamond"/>
          <w:bCs/>
          <w:sz w:val="28"/>
          <w:szCs w:val="28"/>
        </w:rPr>
        <w:t>Aìsara</w:t>
      </w:r>
      <w:proofErr w:type="spellEnd"/>
    </w:p>
    <w:p w:rsidR="0028047C" w:rsidRPr="00176FF9" w:rsidRDefault="0028047C" w:rsidP="0028047C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>2015:</w:t>
      </w:r>
      <w:r w:rsidRPr="00176FF9">
        <w:rPr>
          <w:rFonts w:ascii="Garamond" w:hAnsi="Garamond"/>
          <w:bCs/>
          <w:sz w:val="28"/>
          <w:szCs w:val="28"/>
        </w:rPr>
        <w:tab/>
      </w:r>
      <w:r w:rsidRPr="00176FF9">
        <w:rPr>
          <w:rFonts w:ascii="Garamond" w:hAnsi="Garamond"/>
          <w:bCs/>
          <w:i/>
          <w:sz w:val="28"/>
          <w:szCs w:val="28"/>
        </w:rPr>
        <w:t>Tutte le opere</w:t>
      </w:r>
      <w:r w:rsidRPr="00176FF9">
        <w:rPr>
          <w:rFonts w:ascii="Garamond" w:hAnsi="Garamond"/>
          <w:bCs/>
          <w:sz w:val="28"/>
          <w:szCs w:val="28"/>
        </w:rPr>
        <w:t xml:space="preserve">, vol. III: </w:t>
      </w:r>
      <w:r w:rsidRPr="00176FF9">
        <w:rPr>
          <w:rFonts w:ascii="Garamond" w:hAnsi="Garamond"/>
          <w:bCs/>
          <w:i/>
          <w:sz w:val="28"/>
          <w:szCs w:val="28"/>
        </w:rPr>
        <w:t>La costruzione della democrazia in Italia 1943-1948</w:t>
      </w:r>
      <w:r w:rsidRPr="00176FF9">
        <w:rPr>
          <w:rFonts w:ascii="Garamond" w:hAnsi="Garamond"/>
          <w:bCs/>
          <w:sz w:val="28"/>
          <w:szCs w:val="28"/>
        </w:rPr>
        <w:t xml:space="preserve">, a cura di Luisa Maria </w:t>
      </w:r>
      <w:proofErr w:type="spellStart"/>
      <w:r w:rsidRPr="00176FF9">
        <w:rPr>
          <w:rFonts w:ascii="Garamond" w:hAnsi="Garamond"/>
          <w:bCs/>
          <w:sz w:val="28"/>
          <w:szCs w:val="28"/>
        </w:rPr>
        <w:t>Plaisant</w:t>
      </w:r>
      <w:proofErr w:type="spellEnd"/>
      <w:r w:rsidRPr="00176FF9">
        <w:rPr>
          <w:rFonts w:ascii="Garamond" w:hAnsi="Garamond"/>
          <w:bCs/>
          <w:sz w:val="28"/>
          <w:szCs w:val="28"/>
        </w:rPr>
        <w:t>, Cagliari, CUEC</w:t>
      </w:r>
    </w:p>
    <w:p w:rsidR="002E7D62" w:rsidRPr="00176FF9" w:rsidRDefault="002E7D62" w:rsidP="00C3367F">
      <w:pPr>
        <w:ind w:left="709" w:hanging="709"/>
        <w:rPr>
          <w:rFonts w:ascii="Garamond" w:hAnsi="Garamond"/>
          <w:bCs/>
          <w:i/>
          <w:sz w:val="28"/>
          <w:szCs w:val="28"/>
        </w:rPr>
      </w:pPr>
    </w:p>
    <w:p w:rsidR="00283AAF" w:rsidRPr="00176FF9" w:rsidRDefault="00283AAF" w:rsidP="00C3367F">
      <w:pPr>
        <w:ind w:left="709" w:hanging="709"/>
        <w:rPr>
          <w:rFonts w:ascii="Garamond" w:hAnsi="Garamond"/>
          <w:bCs/>
          <w:i/>
          <w:sz w:val="28"/>
          <w:szCs w:val="28"/>
        </w:rPr>
      </w:pPr>
    </w:p>
    <w:p w:rsidR="00283AAF" w:rsidRPr="00176FF9" w:rsidRDefault="00283AAF" w:rsidP="00C3367F">
      <w:pPr>
        <w:ind w:left="709" w:hanging="709"/>
        <w:rPr>
          <w:rFonts w:ascii="Garamond" w:hAnsi="Garamond"/>
          <w:bCs/>
          <w:i/>
          <w:sz w:val="28"/>
          <w:szCs w:val="28"/>
        </w:rPr>
      </w:pPr>
    </w:p>
    <w:p w:rsidR="00283AAF" w:rsidRPr="00176FF9" w:rsidRDefault="00283AAF" w:rsidP="00C3367F">
      <w:pPr>
        <w:ind w:left="709" w:hanging="709"/>
        <w:rPr>
          <w:rFonts w:ascii="Garamond" w:hAnsi="Garamond"/>
          <w:bCs/>
          <w:i/>
          <w:sz w:val="28"/>
          <w:szCs w:val="28"/>
        </w:rPr>
      </w:pPr>
    </w:p>
    <w:p w:rsidR="009B182F" w:rsidRPr="00176FF9" w:rsidRDefault="009B182F" w:rsidP="009B182F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 xml:space="preserve">Giuseppe </w:t>
      </w:r>
      <w:proofErr w:type="spellStart"/>
      <w:r w:rsidRPr="00176FF9">
        <w:rPr>
          <w:rFonts w:ascii="Garamond" w:hAnsi="Garamond"/>
          <w:bCs/>
          <w:sz w:val="28"/>
          <w:szCs w:val="28"/>
        </w:rPr>
        <w:t>Sircana</w:t>
      </w:r>
      <w:proofErr w:type="spellEnd"/>
      <w:r w:rsidRPr="00176FF9">
        <w:rPr>
          <w:rFonts w:ascii="Garamond" w:hAnsi="Garamond"/>
          <w:bCs/>
          <w:sz w:val="28"/>
          <w:szCs w:val="28"/>
        </w:rPr>
        <w:t xml:space="preserve">, </w:t>
      </w:r>
      <w:r w:rsidRPr="00176FF9">
        <w:rPr>
          <w:rFonts w:ascii="Garamond" w:hAnsi="Garamond"/>
          <w:bCs/>
          <w:i/>
          <w:sz w:val="28"/>
          <w:szCs w:val="28"/>
        </w:rPr>
        <w:t>Emilio Lussu</w:t>
      </w:r>
      <w:r w:rsidRPr="00176FF9">
        <w:rPr>
          <w:rFonts w:ascii="Garamond" w:hAnsi="Garamond"/>
          <w:bCs/>
          <w:sz w:val="28"/>
          <w:szCs w:val="28"/>
        </w:rPr>
        <w:t xml:space="preserve">, in </w:t>
      </w:r>
      <w:r w:rsidRPr="00176FF9">
        <w:rPr>
          <w:rFonts w:ascii="Garamond" w:hAnsi="Garamond"/>
          <w:bCs/>
          <w:i/>
          <w:sz w:val="28"/>
          <w:szCs w:val="28"/>
        </w:rPr>
        <w:t>Dizionario Biografico degli Italiani</w:t>
      </w:r>
      <w:r w:rsidRPr="00176FF9">
        <w:rPr>
          <w:rFonts w:ascii="Garamond" w:hAnsi="Garamond"/>
          <w:bCs/>
          <w:sz w:val="28"/>
          <w:szCs w:val="28"/>
        </w:rPr>
        <w:t>, Treccani, vol. 66</w:t>
      </w:r>
    </w:p>
    <w:p w:rsidR="009B182F" w:rsidRPr="00176FF9" w:rsidRDefault="00176FF9" w:rsidP="009B182F">
      <w:pPr>
        <w:ind w:left="1417" w:hanging="709"/>
        <w:rPr>
          <w:rFonts w:ascii="Garamond" w:hAnsi="Garamond"/>
          <w:bCs/>
          <w:sz w:val="28"/>
          <w:szCs w:val="28"/>
        </w:rPr>
      </w:pPr>
      <w:hyperlink r:id="rId4" w:history="1">
        <w:r w:rsidR="009B182F" w:rsidRPr="00176FF9">
          <w:rPr>
            <w:rStyle w:val="Collegamentoipertestuale"/>
            <w:rFonts w:ascii="Garamond" w:hAnsi="Garamond"/>
            <w:bCs/>
            <w:sz w:val="28"/>
            <w:szCs w:val="28"/>
          </w:rPr>
          <w:t>http://www.treccani.it/enciclopedia/emilio-lussu_(Dizionario-Biografico)/</w:t>
        </w:r>
      </w:hyperlink>
    </w:p>
    <w:p w:rsidR="00C3367F" w:rsidRPr="00176FF9" w:rsidRDefault="00C3367F" w:rsidP="00C3367F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 xml:space="preserve">Giuseppe Fiori, </w:t>
      </w:r>
      <w:r w:rsidRPr="00176FF9">
        <w:rPr>
          <w:rFonts w:ascii="Garamond" w:hAnsi="Garamond"/>
          <w:bCs/>
          <w:i/>
          <w:sz w:val="28"/>
          <w:szCs w:val="28"/>
        </w:rPr>
        <w:t xml:space="preserve">Il cavaliere dei </w:t>
      </w:r>
      <w:proofErr w:type="spellStart"/>
      <w:r w:rsidRPr="00176FF9">
        <w:rPr>
          <w:rFonts w:ascii="Garamond" w:hAnsi="Garamond"/>
          <w:bCs/>
          <w:i/>
          <w:sz w:val="28"/>
          <w:szCs w:val="28"/>
        </w:rPr>
        <w:t>Rossomori</w:t>
      </w:r>
      <w:proofErr w:type="spellEnd"/>
      <w:r w:rsidRPr="00176FF9">
        <w:rPr>
          <w:rFonts w:ascii="Garamond" w:hAnsi="Garamond"/>
          <w:bCs/>
          <w:i/>
          <w:sz w:val="28"/>
          <w:szCs w:val="28"/>
        </w:rPr>
        <w:t>. La vita di Emilio Lussu</w:t>
      </w:r>
      <w:r w:rsidRPr="00176FF9">
        <w:rPr>
          <w:rFonts w:ascii="Garamond" w:hAnsi="Garamond"/>
          <w:bCs/>
          <w:sz w:val="28"/>
          <w:szCs w:val="28"/>
        </w:rPr>
        <w:t>, Einaudi, 1985</w:t>
      </w:r>
      <w:r w:rsidR="00BA7F8A" w:rsidRPr="00176FF9">
        <w:rPr>
          <w:rFonts w:ascii="Garamond" w:hAnsi="Garamond"/>
          <w:bCs/>
          <w:sz w:val="28"/>
          <w:szCs w:val="28"/>
        </w:rPr>
        <w:t xml:space="preserve"> (poi </w:t>
      </w:r>
      <w:r w:rsidRPr="00176FF9">
        <w:rPr>
          <w:rFonts w:ascii="Garamond" w:hAnsi="Garamond"/>
          <w:bCs/>
          <w:sz w:val="28"/>
          <w:szCs w:val="28"/>
        </w:rPr>
        <w:t>Nuoro, Il Maestrale, 2010</w:t>
      </w:r>
      <w:r w:rsidR="00BA7F8A" w:rsidRPr="00176FF9">
        <w:rPr>
          <w:rFonts w:ascii="Garamond" w:hAnsi="Garamond"/>
          <w:bCs/>
          <w:sz w:val="28"/>
          <w:szCs w:val="28"/>
        </w:rPr>
        <w:t>)</w:t>
      </w:r>
    </w:p>
    <w:p w:rsidR="009B182F" w:rsidRPr="00176FF9" w:rsidRDefault="009B182F" w:rsidP="009B182F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i/>
          <w:sz w:val="28"/>
          <w:szCs w:val="28"/>
        </w:rPr>
        <w:t>Emilio Lussu e la cultura popolare della Sardegna</w:t>
      </w:r>
      <w:r w:rsidRPr="00176FF9">
        <w:rPr>
          <w:rFonts w:ascii="Garamond" w:hAnsi="Garamond"/>
          <w:bCs/>
          <w:sz w:val="28"/>
          <w:szCs w:val="28"/>
        </w:rPr>
        <w:t xml:space="preserve"> (Convegno di Studi, Nuoro 25-27 aprile 1980) Nuoro, Istituto Superiore Regionale Etnografico, 1983</w:t>
      </w:r>
    </w:p>
    <w:p w:rsidR="009B182F" w:rsidRPr="00176FF9" w:rsidRDefault="009B182F" w:rsidP="009B182F">
      <w:pPr>
        <w:ind w:left="709" w:hanging="709"/>
        <w:rPr>
          <w:rFonts w:ascii="Garamond" w:eastAsiaTheme="minorHAnsi" w:hAnsi="Garamond" w:cs="Times New Roman (Corpo CS)"/>
          <w:bCs/>
          <w:sz w:val="28"/>
          <w:szCs w:val="28"/>
          <w:lang w:eastAsia="en-US"/>
        </w:rPr>
      </w:pPr>
      <w:r w:rsidRPr="00176FF9">
        <w:rPr>
          <w:rFonts w:ascii="Garamond" w:hAnsi="Garamond"/>
          <w:bCs/>
          <w:sz w:val="28"/>
          <w:szCs w:val="28"/>
        </w:rPr>
        <w:tab/>
      </w:r>
      <w:hyperlink r:id="rId5" w:history="1">
        <w:r w:rsidRPr="00176FF9">
          <w:rPr>
            <w:rStyle w:val="Collegamentoipertestuale"/>
            <w:rFonts w:ascii="Garamond" w:eastAsiaTheme="minorHAnsi" w:hAnsi="Garamond" w:cs="Times New Roman (Corpo CS)"/>
            <w:bCs/>
            <w:sz w:val="28"/>
            <w:szCs w:val="28"/>
            <w:lang w:eastAsia="en-US"/>
          </w:rPr>
          <w:t>http://www.sardegnadigitallibrary.it/index.php?xsl=2436&amp;id=856</w:t>
        </w:r>
      </w:hyperlink>
    </w:p>
    <w:p w:rsidR="00C3367F" w:rsidRPr="00176FF9" w:rsidRDefault="00C3367F" w:rsidP="00C3367F">
      <w:pPr>
        <w:ind w:left="709" w:hanging="709"/>
        <w:rPr>
          <w:rFonts w:ascii="Garamond" w:hAnsi="Garamond"/>
          <w:bCs/>
          <w:sz w:val="28"/>
          <w:szCs w:val="28"/>
        </w:rPr>
      </w:pPr>
      <w:r w:rsidRPr="00176FF9">
        <w:rPr>
          <w:rFonts w:ascii="Garamond" w:hAnsi="Garamond"/>
          <w:bCs/>
          <w:sz w:val="28"/>
          <w:szCs w:val="28"/>
        </w:rPr>
        <w:t xml:space="preserve">Giulio </w:t>
      </w:r>
      <w:proofErr w:type="spellStart"/>
      <w:r w:rsidRPr="00176FF9">
        <w:rPr>
          <w:rFonts w:ascii="Garamond" w:hAnsi="Garamond"/>
          <w:bCs/>
          <w:sz w:val="28"/>
          <w:szCs w:val="28"/>
        </w:rPr>
        <w:t>Angioni</w:t>
      </w:r>
      <w:proofErr w:type="spellEnd"/>
      <w:r w:rsidRPr="00176FF9">
        <w:rPr>
          <w:rFonts w:ascii="Garamond" w:hAnsi="Garamond"/>
          <w:bCs/>
          <w:sz w:val="28"/>
          <w:szCs w:val="28"/>
        </w:rPr>
        <w:t xml:space="preserve">, </w:t>
      </w:r>
      <w:r w:rsidRPr="00176FF9">
        <w:rPr>
          <w:rFonts w:ascii="Garamond" w:hAnsi="Garamond"/>
          <w:bCs/>
          <w:i/>
          <w:iCs/>
          <w:sz w:val="28"/>
          <w:szCs w:val="28"/>
        </w:rPr>
        <w:t>Emilio Lussu e i sardi</w:t>
      </w:r>
      <w:r w:rsidRPr="00176FF9">
        <w:rPr>
          <w:rFonts w:ascii="Garamond" w:hAnsi="Garamond"/>
          <w:bCs/>
          <w:sz w:val="28"/>
          <w:szCs w:val="28"/>
        </w:rPr>
        <w:t>, in </w:t>
      </w:r>
      <w:r w:rsidRPr="00176FF9">
        <w:rPr>
          <w:rFonts w:ascii="Garamond" w:hAnsi="Garamond"/>
          <w:bCs/>
          <w:i/>
          <w:iCs/>
          <w:sz w:val="28"/>
          <w:szCs w:val="28"/>
        </w:rPr>
        <w:t>Il dito alzato</w:t>
      </w:r>
      <w:r w:rsidRPr="00176FF9">
        <w:rPr>
          <w:rFonts w:ascii="Garamond" w:hAnsi="Garamond"/>
          <w:bCs/>
          <w:sz w:val="28"/>
          <w:szCs w:val="28"/>
        </w:rPr>
        <w:t>, Palermo, Sellerio, 2012</w:t>
      </w:r>
    </w:p>
    <w:p w:rsidR="007747BA" w:rsidRPr="00176FF9" w:rsidRDefault="007747BA" w:rsidP="007747BA">
      <w:pPr>
        <w:ind w:left="1417" w:hanging="709"/>
        <w:rPr>
          <w:rFonts w:ascii="Garamond" w:hAnsi="Garamond"/>
          <w:bCs/>
          <w:sz w:val="28"/>
          <w:szCs w:val="28"/>
        </w:rPr>
      </w:pPr>
    </w:p>
    <w:p w:rsidR="007747BA" w:rsidRPr="00176FF9" w:rsidRDefault="007747BA" w:rsidP="007747BA">
      <w:pPr>
        <w:ind w:left="709" w:hanging="709"/>
        <w:rPr>
          <w:rFonts w:ascii="Garamond" w:hAnsi="Garamond"/>
          <w:bCs/>
          <w:sz w:val="28"/>
          <w:szCs w:val="28"/>
        </w:rPr>
      </w:pPr>
    </w:p>
    <w:p w:rsidR="007747BA" w:rsidRPr="00176FF9" w:rsidRDefault="007747BA" w:rsidP="007747BA">
      <w:pPr>
        <w:ind w:left="1417" w:hanging="709"/>
        <w:rPr>
          <w:rFonts w:ascii="Garamond" w:hAnsi="Garamond"/>
          <w:bCs/>
          <w:sz w:val="28"/>
          <w:szCs w:val="28"/>
        </w:rPr>
      </w:pPr>
    </w:p>
    <w:p w:rsidR="007747BA" w:rsidRPr="00176FF9" w:rsidRDefault="007747BA" w:rsidP="00C3367F">
      <w:pPr>
        <w:ind w:left="709" w:hanging="709"/>
        <w:rPr>
          <w:rFonts w:ascii="Garamond" w:hAnsi="Garamond"/>
          <w:bCs/>
          <w:sz w:val="28"/>
          <w:szCs w:val="28"/>
        </w:rPr>
      </w:pPr>
    </w:p>
    <w:p w:rsidR="00C3367F" w:rsidRPr="00176FF9" w:rsidRDefault="00C3367F" w:rsidP="00C3367F">
      <w:pPr>
        <w:ind w:left="709" w:hanging="709"/>
        <w:rPr>
          <w:rFonts w:ascii="Garamond" w:hAnsi="Garamond"/>
          <w:bCs/>
          <w:sz w:val="28"/>
          <w:szCs w:val="28"/>
        </w:rPr>
      </w:pPr>
    </w:p>
    <w:p w:rsidR="00B5252E" w:rsidRPr="00176FF9" w:rsidRDefault="00B5252E">
      <w:pPr>
        <w:rPr>
          <w:sz w:val="28"/>
          <w:szCs w:val="28"/>
        </w:rPr>
      </w:pPr>
    </w:p>
    <w:sectPr w:rsidR="00B5252E" w:rsidRPr="00176FF9" w:rsidSect="001E7C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7F"/>
    <w:rsid w:val="00176FF9"/>
    <w:rsid w:val="001E7CDD"/>
    <w:rsid w:val="0028047C"/>
    <w:rsid w:val="00283AAF"/>
    <w:rsid w:val="002E7D62"/>
    <w:rsid w:val="00376462"/>
    <w:rsid w:val="006E25A3"/>
    <w:rsid w:val="007747BA"/>
    <w:rsid w:val="009B182F"/>
    <w:rsid w:val="00AA31E3"/>
    <w:rsid w:val="00B5252E"/>
    <w:rsid w:val="00B82F8F"/>
    <w:rsid w:val="00B95616"/>
    <w:rsid w:val="00BA7F8A"/>
    <w:rsid w:val="00C3367F"/>
    <w:rsid w:val="00D77928"/>
    <w:rsid w:val="00D92EE4"/>
    <w:rsid w:val="00EC2BE3"/>
    <w:rsid w:val="00EF40AA"/>
    <w:rsid w:val="00F7756F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3D01BC-9092-2E44-8B75-DE909DD5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7646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64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7646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degnadigitallibrary.it/index.php?xsl=2436&amp;id=856" TargetMode="External"/><Relationship Id="rId4" Type="http://schemas.openxmlformats.org/officeDocument/2006/relationships/hyperlink" Target="http://www.treccani.it/enciclopedia/emilio-lussu_(Dizionario-Biografico)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mariobarenghi@gmail.com</dc:creator>
  <cp:keywords/>
  <dc:description/>
  <cp:lastModifiedBy>Mario Barenghi</cp:lastModifiedBy>
  <cp:revision>3</cp:revision>
  <dcterms:created xsi:type="dcterms:W3CDTF">2019-05-23T06:03:00Z</dcterms:created>
  <dcterms:modified xsi:type="dcterms:W3CDTF">2019-10-22T15:34:00Z</dcterms:modified>
</cp:coreProperties>
</file>