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left" w:leader="none" w:pos="3700"/>
        </w:tabs>
        <w:spacing w:before="197" w:lineRule="auto"/>
        <w:jc w:val="cente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AMMISSIONE AL CDS MAGISTRALE IN BIOTECNOLOGIE INDUSTRIALI (LM-8)</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tabs>
          <w:tab w:val="left" w:leader="none" w:pos="3700"/>
        </w:tabs>
        <w:spacing w:before="197" w:lineRule="auto"/>
        <w:jc w:val="cente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UNIVERSITA’ DEGLI STUDI DI MILANO - BICOCCA</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Per iscriversi al Corso di Laurea Magistrale in Biotecnologie Industriali occorre essere </w:t>
      </w:r>
      <w:r w:rsidDel="00000000" w:rsidR="00000000" w:rsidRPr="00000000">
        <w:rPr>
          <w:rFonts w:ascii="Open Sans" w:cs="Open Sans" w:eastAsia="Open Sans" w:hAnsi="Open Sans"/>
          <w:b w:val="1"/>
          <w:color w:val="000000"/>
          <w:rtl w:val="0"/>
        </w:rPr>
        <w:t xml:space="preserve">in possesso di Laurea o Diploma Universitario di durata triennale, ovvero di titolo di studio conseguito all’estero e riconosciuto idoneo</w:t>
      </w:r>
      <w:r w:rsidDel="00000000" w:rsidR="00000000" w:rsidRPr="00000000">
        <w:rPr>
          <w:rFonts w:ascii="Open Sans" w:cs="Open Sans" w:eastAsia="Open Sans" w:hAnsi="Open Sans"/>
          <w:color w:val="000000"/>
          <w:rtl w:val="0"/>
        </w:rPr>
        <w:t xml:space="preserv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Per accedere al Corso di Laurea è necessario superare una prova di valutazione; per l’anno accademico 2024/2025 sono previste tre finestre di ammissione per Studenti italiani, europei ed extra-UE legalmente soggiornanti in Italia e una finestra per Studenti Extra-UE richiedenti visto, secondo il calendario sotto riportato.</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Le informazioni relative al laboratorio informatico in cui si svolgerà la prova verranno comunicate qualche giorno prima della prova stessa.</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Per iscriversi al test di ammissione, </w:t>
      </w:r>
      <w:r w:rsidDel="00000000" w:rsidR="00000000" w:rsidRPr="00000000">
        <w:rPr>
          <w:rFonts w:ascii="Open Sans" w:cs="Open Sans" w:eastAsia="Open Sans" w:hAnsi="Open Sans"/>
          <w:b w:val="1"/>
          <w:color w:val="000000"/>
          <w:rtl w:val="0"/>
        </w:rPr>
        <w:t xml:space="preserve">è necessario presentare domanda secondo le istruzioni riportate al seguente link:</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hyperlink r:id="rId7">
        <w:r w:rsidDel="00000000" w:rsidR="00000000" w:rsidRPr="00000000">
          <w:rPr>
            <w:rFonts w:ascii="Open Sans" w:cs="Open Sans" w:eastAsia="Open Sans" w:hAnsi="Open Sans"/>
            <w:color w:val="0000ff"/>
            <w:u w:val="single"/>
            <w:rtl w:val="0"/>
          </w:rPr>
          <w:t xml:space="preserve">https://www.unimib.it/magistrale/biotecnologie-industriali</w:t>
        </w:r>
      </w:hyperlink>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Qui di seguito le informazioni attualmente disponibili per le date di svolgimento della prova.</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Esclusivamente per </w:t>
      </w:r>
      <w:r w:rsidDel="00000000" w:rsidR="00000000" w:rsidRPr="00000000">
        <w:rPr>
          <w:rFonts w:ascii="Open Sans" w:cs="Open Sans" w:eastAsia="Open Sans" w:hAnsi="Open Sans"/>
          <w:b w:val="1"/>
          <w:i w:val="0"/>
          <w:smallCaps w:val="0"/>
          <w:strike w:val="0"/>
          <w:color w:val="222222"/>
          <w:sz w:val="24"/>
          <w:szCs w:val="24"/>
          <w:highlight w:val="white"/>
          <w:u w:val="single"/>
          <w:vertAlign w:val="baseline"/>
          <w:rtl w:val="0"/>
        </w:rPr>
        <w:t xml:space="preserve">Studenti Extra-UE, richiedenti visto:</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222222"/>
          <w:sz w:val="24"/>
          <w:szCs w:val="24"/>
          <w:u w:val="single"/>
          <w:shd w:fill="auto" w:val="clear"/>
          <w:vertAlign w:val="baseline"/>
          <w:rtl w:val="0"/>
        </w:rPr>
        <w:t xml:space="preserve"> </w:t>
      </w:r>
      <w:r w:rsidDel="00000000" w:rsidR="00000000" w:rsidRPr="00000000">
        <w:rPr>
          <w:rtl w:val="0"/>
        </w:rPr>
      </w:r>
    </w:p>
    <w:tbl>
      <w:tblPr>
        <w:tblStyle w:val="Table1"/>
        <w:tblW w:w="9730.0" w:type="dxa"/>
        <w:jc w:val="left"/>
        <w:tblLayout w:type="fixed"/>
        <w:tblLook w:val="0400"/>
      </w:tblPr>
      <w:tblGrid>
        <w:gridCol w:w="5679"/>
        <w:gridCol w:w="4051"/>
        <w:tblGridChange w:id="0">
          <w:tblGrid>
            <w:gridCol w:w="5679"/>
            <w:gridCol w:w="4051"/>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33333"/>
                <w:sz w:val="24"/>
                <w:szCs w:val="24"/>
                <w:u w:val="none"/>
                <w:shd w:fill="auto" w:val="clear"/>
                <w:vertAlign w:val="baseline"/>
                <w:rtl w:val="0"/>
              </w:rPr>
              <w:t xml:space="preserve">Termini di presentazione della domanda di valutazione della carriera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33333"/>
                <w:sz w:val="24"/>
                <w:szCs w:val="24"/>
                <w:u w:val="none"/>
                <w:shd w:fill="auto" w:val="clear"/>
                <w:vertAlign w:val="baseline"/>
                <w:rtl w:val="0"/>
              </w:rPr>
              <w:t xml:space="preserve">Data di svolgimento della prova di ammissione</w:t>
            </w: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22222"/>
                <w:sz w:val="24"/>
                <w:szCs w:val="24"/>
                <w:u w:val="none"/>
                <w:shd w:fill="auto" w:val="clear"/>
                <w:vertAlign w:val="baseline"/>
                <w:rtl w:val="0"/>
              </w:rPr>
              <w:t xml:space="preserve">Dal 18 marzo 2024 al 3 maggio 2024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4"/>
                <w:szCs w:val="24"/>
                <w:u w:val="none"/>
                <w:shd w:fill="auto" w:val="clear"/>
                <w:vertAlign w:val="baseline"/>
                <w:rtl w:val="0"/>
              </w:rPr>
              <w:t xml:space="preserve">6 giugno 2024, ore 10:30</w:t>
            </w:r>
            <w:r w:rsidDel="00000000" w:rsidR="00000000" w:rsidRPr="00000000">
              <w:rPr>
                <w:rtl w:val="0"/>
              </w:rPr>
            </w:r>
          </w:p>
        </w:tc>
      </w:tr>
    </w:tbl>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 prova di ammissione si svolgerà online.</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u w:val="single"/>
        </w:rPr>
      </w:pPr>
      <w:r w:rsidDel="00000000" w:rsidR="00000000" w:rsidRPr="00000000">
        <w:rPr>
          <w:rFonts w:ascii="Open Sans" w:cs="Open Sans" w:eastAsia="Open Sans" w:hAnsi="Open Sans"/>
          <w:b w:val="1"/>
          <w:color w:val="000000"/>
          <w:u w:val="single"/>
          <w:rtl w:val="0"/>
        </w:rPr>
        <w:t xml:space="preserve">Studenti italiani, europei ed extra-UE legalmente soggiornanti in Italia:</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rPr>
          <w:rtl w:val="0"/>
        </w:rPr>
      </w:r>
    </w:p>
    <w:tbl>
      <w:tblPr>
        <w:tblStyle w:val="Table2"/>
        <w:tblW w:w="9730.0" w:type="dxa"/>
        <w:jc w:val="left"/>
        <w:tblLayout w:type="fixed"/>
        <w:tblLook w:val="0400"/>
      </w:tblPr>
      <w:tblGrid>
        <w:gridCol w:w="4670"/>
        <w:gridCol w:w="2410"/>
        <w:gridCol w:w="2650"/>
        <w:tblGridChange w:id="0">
          <w:tblGrid>
            <w:gridCol w:w="4670"/>
            <w:gridCol w:w="2410"/>
            <w:gridCol w:w="265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Termini di presentazione della domanda di valutazione della carriera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Date di svolgimento della prova di ammissione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Laboratorio informatico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222222"/>
                <w:rtl w:val="0"/>
              </w:rPr>
              <w:t xml:space="preserve">Dal 7 maggio 2024 al 14 giugno 2024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222222"/>
                <w:rtl w:val="0"/>
              </w:rPr>
              <w:t xml:space="preserve">28 giugno 2024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left" w:leader="none" w:pos="3700"/>
              </w:tabs>
              <w:spacing w:before="197" w:lineRule="auto"/>
              <w:rPr>
                <w:rFonts w:ascii="Open Sans" w:cs="Open Sans" w:eastAsia="Open Sans" w:hAnsi="Open Sans"/>
                <w:color w:val="222222"/>
              </w:rPr>
            </w:pPr>
            <w:r w:rsidDel="00000000" w:rsidR="00000000" w:rsidRPr="00000000">
              <w:rPr>
                <w:rFonts w:ascii="Open Sans" w:cs="Open Sans" w:eastAsia="Open Sans" w:hAnsi="Open Sans"/>
                <w:b w:val="1"/>
                <w:color w:val="222222"/>
                <w:rtl w:val="0"/>
              </w:rPr>
              <w:t xml:space="preserve">U9-07</w:t>
            </w:r>
            <w:r w:rsidDel="00000000" w:rsidR="00000000" w:rsidRPr="00000000">
              <w:rPr>
                <w:rFonts w:ascii="Open Sans" w:cs="Open Sans" w:eastAsia="Open Sans" w:hAnsi="Open Sans"/>
                <w:color w:val="222222"/>
                <w:rtl w:val="0"/>
              </w:rPr>
              <w:t xml:space="preserve">, edificio U9 – KOINÈ, Viale dell'Innovazione 10 Milano</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222222"/>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Dal 19 giugno 2024 al 10 settembre 2024</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26 settembre 2024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tabs>
                <w:tab w:val="left" w:leader="none" w:pos="3700"/>
              </w:tabs>
              <w:spacing w:before="197" w:lineRule="auto"/>
              <w:rPr>
                <w:rFonts w:ascii="Open Sans" w:cs="Open Sans" w:eastAsia="Open Sans" w:hAnsi="Open Sans"/>
                <w:color w:val="222222"/>
              </w:rPr>
            </w:pPr>
            <w:r w:rsidDel="00000000" w:rsidR="00000000" w:rsidRPr="00000000">
              <w:rPr>
                <w:rFonts w:ascii="Open Sans" w:cs="Open Sans" w:eastAsia="Open Sans" w:hAnsi="Open Sans"/>
                <w:b w:val="1"/>
                <w:color w:val="222222"/>
                <w:rtl w:val="0"/>
              </w:rPr>
              <w:t xml:space="preserve">U9-05</w:t>
            </w:r>
            <w:r w:rsidDel="00000000" w:rsidR="00000000" w:rsidRPr="00000000">
              <w:rPr>
                <w:rFonts w:ascii="Open Sans" w:cs="Open Sans" w:eastAsia="Open Sans" w:hAnsi="Open Sans"/>
                <w:color w:val="222222"/>
                <w:rtl w:val="0"/>
              </w:rPr>
              <w:t xml:space="preserve">, edificio U9 – KOINÈ, Viale dell'Innovazione 10 Milano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Dal 8 gennaio 2025 al 24 gennaio 2025</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11 Febbraio 2025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1">
            <w:pPr>
              <w:widowControl w:val="0"/>
              <w:tabs>
                <w:tab w:val="left" w:leader="none" w:pos="3700"/>
              </w:tabs>
              <w:spacing w:before="197" w:lineRule="auto"/>
              <w:rPr>
                <w:rFonts w:ascii="Open Sans" w:cs="Open Sans" w:eastAsia="Open Sans" w:hAnsi="Open Sans"/>
                <w:color w:val="222222"/>
              </w:rPr>
            </w:pPr>
            <w:r w:rsidDel="00000000" w:rsidR="00000000" w:rsidRPr="00000000">
              <w:rPr>
                <w:rFonts w:ascii="Open Sans" w:cs="Open Sans" w:eastAsia="Open Sans" w:hAnsi="Open Sans"/>
                <w:b w:val="1"/>
                <w:color w:val="222222"/>
                <w:rtl w:val="0"/>
              </w:rPr>
              <w:t xml:space="preserve">Lab 910</w:t>
            </w:r>
            <w:r w:rsidDel="00000000" w:rsidR="00000000" w:rsidRPr="00000000">
              <w:rPr>
                <w:rFonts w:ascii="Open Sans" w:cs="Open Sans" w:eastAsia="Open Sans" w:hAnsi="Open Sans"/>
                <w:color w:val="222222"/>
                <w:rtl w:val="0"/>
              </w:rPr>
              <w:t xml:space="preserve">, edificio U9 – KOINÈ, Viale dell'Innovazione 10 Milano</w:t>
            </w:r>
          </w:p>
        </w:tc>
      </w:tr>
    </w:tb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Le prove di ammissione si svolgeranno esclusivamente </w:t>
      </w:r>
      <w:r w:rsidDel="00000000" w:rsidR="00000000" w:rsidRPr="00000000">
        <w:rPr>
          <w:rFonts w:ascii="Open Sans" w:cs="Open Sans" w:eastAsia="Open Sans" w:hAnsi="Open Sans"/>
          <w:b w:val="1"/>
          <w:color w:val="000000"/>
          <w:rtl w:val="0"/>
        </w:rPr>
        <w:t xml:space="preserve">in presenza alle ore 10:30 </w:t>
      </w:r>
      <w:r w:rsidDel="00000000" w:rsidR="00000000" w:rsidRPr="00000000">
        <w:rPr>
          <w:rFonts w:ascii="Open Sans" w:cs="Open Sans" w:eastAsia="Open Sans" w:hAnsi="Open Sans"/>
          <w:color w:val="000000"/>
          <w:rtl w:val="0"/>
        </w:rPr>
        <w:t xml:space="preserve">nel Laboratorio informatico indicato.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Modalità di svolgimento della prova di valutazione</w:t>
      </w:r>
    </w:p>
    <w:p w:rsidR="00000000" w:rsidDel="00000000" w:rsidP="00000000" w:rsidRDefault="00000000" w:rsidRPr="00000000" w14:paraId="00000028">
      <w:pPr>
        <w:widowControl w:val="0"/>
        <w:numPr>
          <w:ilvl w:val="0"/>
          <w:numId w:val="1"/>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 prova di valutazione è costituita da un test con domande a risposta chiusa di tipo vero/falso.</w:t>
      </w:r>
    </w:p>
    <w:p w:rsidR="00000000" w:rsidDel="00000000" w:rsidP="00000000" w:rsidRDefault="00000000" w:rsidRPr="00000000" w14:paraId="00000029">
      <w:pPr>
        <w:widowControl w:val="0"/>
        <w:numPr>
          <w:ilvl w:val="0"/>
          <w:numId w:val="1"/>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 prova di valutazione si compone di 50 domande riguardanti le aree disciplinari della chimica generale ed organica, microbiologia, biochimica, biologia molecolare e genetica.</w:t>
      </w:r>
    </w:p>
    <w:p w:rsidR="00000000" w:rsidDel="00000000" w:rsidP="00000000" w:rsidRDefault="00000000" w:rsidRPr="00000000" w14:paraId="0000002A">
      <w:pPr>
        <w:widowControl w:val="0"/>
        <w:numPr>
          <w:ilvl w:val="0"/>
          <w:numId w:val="1"/>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 durata della prova di valutazione  è di 90 minuti </w:t>
      </w:r>
    </w:p>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Viene assegnato 1 punto per ogni risposta corretta, 0 punti per ogni risposta non data e una penalizzazione di 0,10 punti per ogni risposta errata.</w:t>
      </w:r>
    </w:p>
    <w:p w:rsidR="00000000" w:rsidDel="00000000" w:rsidP="00000000" w:rsidRDefault="00000000" w:rsidRPr="00000000" w14:paraId="0000002C">
      <w:pPr>
        <w:widowControl w:val="0"/>
        <w:numPr>
          <w:ilvl w:val="0"/>
          <w:numId w:val="1"/>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Lo studente che totalizza almeno 25 punti su 50 domande ha superato la prova di valutazione e viene ammesso al CdS Magistrale in Biotecnologie Industriali.</w:t>
      </w:r>
    </w:p>
    <w:p w:rsidR="00000000" w:rsidDel="00000000" w:rsidP="00000000" w:rsidRDefault="00000000" w:rsidRPr="00000000" w14:paraId="0000002D">
      <w:pPr>
        <w:widowControl w:val="0"/>
        <w:numPr>
          <w:ilvl w:val="0"/>
          <w:numId w:val="1"/>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Nel caso lo studente non superasse la prova di valutazione, potrà ripetere la prova nelle sessioni successive fino a Febbraio </w:t>
      </w:r>
    </w:p>
    <w:p w:rsidR="00000000" w:rsidDel="00000000" w:rsidP="00000000" w:rsidRDefault="00000000" w:rsidRPr="00000000" w14:paraId="0000002E">
      <w:pPr>
        <w:widowControl w:val="0"/>
        <w:numPr>
          <w:ilvl w:val="0"/>
          <w:numId w:val="1"/>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L’esito della prova di valutazione  viene  fornito in forma di punteggio totale (somma dei punti di tutte le domande) e di punteggio parziale, ottenuto per ciascuna area disciplinare, per consentire l’individuazione di eventuali specifiche lacune.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CONOSCENZE RICHIESTE PER LA COMPRENSIONE DEI CONTENUTI DEL CORSO DI LAUREA MAGISTRALE IN BIOTECNOLOGIE INDUSTRIALI</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 comprensione dei contenuti degli insegnamenti del Corso di studi in Biotecnologie Industriali richiede conoscenze di base di Biochimica, Biologia molecolare, Chimica generale ed inorganica, Chimica organica, Genetica, Microbiologia industriale. Tali conoscenze sono elencate in sintesi qui di seguito (i testi di riferimento sono indicati per ogni disciplina).</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 docenti del Corso di studi sono comunque a disposizione per fornire agli studenti interessati indicazioni più dettagliate relative alla loro materia.</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Biochimica</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Principi generali della struttura e funzione delle proteine</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Principi base di cinetica enzimatica</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L’organizzazione generale del metabolismo</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Vie biochimiche principali</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i w:val="1"/>
          <w:color w:val="000000"/>
        </w:rPr>
      </w:pPr>
      <w:r w:rsidDel="00000000" w:rsidR="00000000" w:rsidRPr="00000000">
        <w:rPr>
          <w:rFonts w:ascii="Open Sans" w:cs="Open Sans" w:eastAsia="Open Sans" w:hAnsi="Open Sans"/>
          <w:i w:val="1"/>
          <w:color w:val="000000"/>
          <w:rtl w:val="0"/>
        </w:rPr>
        <w:t xml:space="preserve">Testi consigliati:</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Christopher K. Mathews, Kensal E. van Holde, Kevin G. Ahern: Biochimica Casa editrice Ambrosiana, 2004</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Campbell Mary K., Farrell Shawn O. Biochimica Edises, 2009</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Nelson David  L.,  Cox Michael M. I principi di biochimica di Lehninger  Zanichelli 2006</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Biologia Molecolare</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Struttura degli acidi nucleici (DNA ed RNA)</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La trascrizione nei batteri e negli eucarioti</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Ribosomi e meccanismi di sintesi proteica</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Elementi di ingegneria genetica e di DNA ricombinante</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i w:val="1"/>
          <w:color w:val="000000"/>
        </w:rPr>
      </w:pPr>
      <w:r w:rsidDel="00000000" w:rsidR="00000000" w:rsidRPr="00000000">
        <w:rPr>
          <w:rFonts w:ascii="Open Sans" w:cs="Open Sans" w:eastAsia="Open Sans" w:hAnsi="Open Sans"/>
          <w:i w:val="1"/>
          <w:color w:val="000000"/>
          <w:rtl w:val="0"/>
        </w:rPr>
        <w:t xml:space="preserve">Testi consigliati:</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Watson et al. Biologia Molecolare del gene. Zanichelli - 2008</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Watson et al. DNA Ricombinante. Zanichelli - 2008</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Brown. Genomi 3. Edises - 2008</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Chimica generale ed inorganica</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Atomi ed elementi. Molecole e composti. Molecole e formule molecolari.</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Legame chimico e struttura molecolare. Simboli e struttura di Lewis. Elettronegatività.</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Forze intermolecolari. Legami a idrogeno. Definizione generale di acidi e basi.</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Termodinamica chimica. Energia interna. Variazioni entalpiche, entropia e spontaneità dei processi. </w:t>
      </w:r>
    </w:p>
    <w:p w:rsidR="00000000" w:rsidDel="00000000" w:rsidP="00000000" w:rsidRDefault="00000000" w:rsidRPr="00000000" w14:paraId="00000053">
      <w:pPr>
        <w:widowControl w:val="0"/>
        <w:numPr>
          <w:ilvl w:val="0"/>
          <w:numId w:val="2"/>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Energia libera di Gibbs criteri di spontaneità. Energia libera di reazione e quoziente di reazione.</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i w:val="1"/>
          <w:color w:val="000000"/>
        </w:rPr>
      </w:pPr>
      <w:r w:rsidDel="00000000" w:rsidR="00000000" w:rsidRPr="00000000">
        <w:rPr>
          <w:rFonts w:ascii="Open Sans" w:cs="Open Sans" w:eastAsia="Open Sans" w:hAnsi="Open Sans"/>
          <w:i w:val="1"/>
          <w:color w:val="000000"/>
          <w:rtl w:val="0"/>
        </w:rPr>
        <w:t xml:space="preserve">Testi consigliati:</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Petrucci, Harwood, Herring, CHIMICA GENERALE (Ottava Edizione 2004), Piccin</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Kotz, Treichel, Weaver, CHIMICA (Terza Edizione 2007), Edises</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Chimica organica</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Ibridazioni dell'atomo di carbonio, ossigeno, azoto, zolfo</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Struttura dei composti organici, loro rappresentazione e loro nomenclatura</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Principali classi di composti organici: struttura, proprietà fisiche, nomenclatura, reattività</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Principali classi di biomolecole: carboidrati, amminoacidi, acidi nucleici, lipidi</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i w:val="1"/>
          <w:color w:val="000000"/>
        </w:rPr>
      </w:pPr>
      <w:r w:rsidDel="00000000" w:rsidR="00000000" w:rsidRPr="00000000">
        <w:rPr>
          <w:rFonts w:ascii="Open Sans" w:cs="Open Sans" w:eastAsia="Open Sans" w:hAnsi="Open Sans"/>
          <w:i w:val="1"/>
          <w:color w:val="000000"/>
          <w:rtl w:val="0"/>
        </w:rPr>
        <w:t xml:space="preserve">Testi consigliati:</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W.  Brown,  T. Poon,  Introduzione alla Chimica Organica, EdiSES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P. Bruice ,  Chimica Organica, EdiSES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J.  Mc Murry,  Chimica Organica,  un approccio biologico, Zanichelli</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J. Mc Murry, Chimica Organica, Piccin, 2009</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T. W.  Solomons,  C. B. Fryhle,  Chimica Organica, Zanichelli</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Genetica</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Struttura e funzione dei geni,  codice genetico e mutazioni puntiformi</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Trasmissione del materiale ereditario negli organismi a riproduzione sessuale: mitosi e meiosi, geni indipendenti e concatenati, frequenze geniche nelle popolazioni</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Trasmissione del materiale ereditario nei batteri e nei batteriofagi</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i w:val="1"/>
          <w:color w:val="000000"/>
        </w:rPr>
      </w:pPr>
      <w:r w:rsidDel="00000000" w:rsidR="00000000" w:rsidRPr="00000000">
        <w:rPr>
          <w:rFonts w:ascii="Open Sans" w:cs="Open Sans" w:eastAsia="Open Sans" w:hAnsi="Open Sans"/>
          <w:i w:val="1"/>
          <w:color w:val="000000"/>
          <w:rtl w:val="0"/>
        </w:rPr>
        <w:t xml:space="preserve">Testi consigliati:</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Testi base, a scelta:</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P.J. Russel, “Genetica”, EdiSES, Seconda  Edizione, 2007</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L. H. Hartwell et al., “Genetica: dall’analisi formale alla genomica”, McGraw-Hill, 2004</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D. P. Snustad e M. J. Simmons, “Principi di Genetica”, EdiSES, seconda edizione, 2004</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Testi utili per consultazione:</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Brown, T.A., “Genomi”, EdiSES, seconda edizione, 2003.</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B. Lewin, “Il Gene VIII” , Zanichelli, 2005</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-J. D. Watson et al., “Biologia molecolare del gene”, Zanichelli, quinta edizione, 2006</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Microbiologia industriale</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Principi generali della crescita microbica</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Microbiologia Industriale:  il bioreattore</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Struttura della cellula procariote</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I microorganismi eucarioti</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    Metabolismo microbico</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i w:val="1"/>
          <w:color w:val="000000"/>
        </w:rPr>
      </w:pPr>
      <w:r w:rsidDel="00000000" w:rsidR="00000000" w:rsidRPr="00000000">
        <w:rPr>
          <w:rFonts w:ascii="Open Sans" w:cs="Open Sans" w:eastAsia="Open Sans" w:hAnsi="Open Sans"/>
          <w:i w:val="1"/>
          <w:color w:val="000000"/>
          <w:rtl w:val="0"/>
        </w:rPr>
        <w:t xml:space="preserve">Testi consigliati:</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M.D. Madigan, J.M. Martinko, J. Parker: Brock - Biologia dei Microrganismi, Casa editrice</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Ambrosiana 2003</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Perry J.J., Staley J.T., Lory S., Microbiologia Volumi 1 e 2, Edizione Zanichelli, 2004</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M. Polsinelli, E. Galli, E. Galizzi, G. Mastromei, M. De Felice, G. Viale: Microbiologia, Ed. Boringhieri,</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Firenze, 1996</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ESEMPI DI TIPOLOGIE DI DOMANDE DELLA PROVA DI VALUTAZIONE (DOMANDE A RIPOSTA VERO/FALSO)</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u w:val="single"/>
        </w:rPr>
      </w:pPr>
      <w:r w:rsidDel="00000000" w:rsidR="00000000" w:rsidRPr="00000000">
        <w:rPr>
          <w:rFonts w:ascii="Open Sans" w:cs="Open Sans" w:eastAsia="Open Sans" w:hAnsi="Open Sans"/>
          <w:color w:val="000000"/>
          <w:u w:val="single"/>
          <w:rtl w:val="0"/>
        </w:rPr>
        <w:t xml:space="preserve">Biochimica</w:t>
      </w:r>
    </w:p>
    <w:p w:rsidR="00000000" w:rsidDel="00000000" w:rsidP="00000000" w:rsidRDefault="00000000" w:rsidRPr="00000000" w14:paraId="00000086">
      <w:pPr>
        <w:widowControl w:val="0"/>
        <w:numPr>
          <w:ilvl w:val="0"/>
          <w:numId w:val="2"/>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Il recettore per i glucocorticoidi appartiene alla superfamiglia dei recettori nucleari (V/F)</w:t>
      </w:r>
    </w:p>
    <w:p w:rsidR="00000000" w:rsidDel="00000000" w:rsidP="00000000" w:rsidRDefault="00000000" w:rsidRPr="00000000" w14:paraId="00000087">
      <w:pPr>
        <w:widowControl w:val="0"/>
        <w:numPr>
          <w:ilvl w:val="0"/>
          <w:numId w:val="2"/>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 sintesi di acidi grassi avviene nel citosol di cellule del fegato e del tessuto adiposo che dispongano di un eccesso di citrato e di ATP (V/F)</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u w:val="single"/>
        </w:rPr>
      </w:pPr>
      <w:r w:rsidDel="00000000" w:rsidR="00000000" w:rsidRPr="00000000">
        <w:rPr>
          <w:rFonts w:ascii="Open Sans" w:cs="Open Sans" w:eastAsia="Open Sans" w:hAnsi="Open Sans"/>
          <w:color w:val="000000"/>
          <w:u w:val="single"/>
          <w:rtl w:val="0"/>
        </w:rPr>
        <w:t xml:space="preserve">Biologia Molecolare e cellulare</w:t>
      </w:r>
    </w:p>
    <w:p w:rsidR="00000000" w:rsidDel="00000000" w:rsidP="00000000" w:rsidRDefault="00000000" w:rsidRPr="00000000" w14:paraId="0000008A">
      <w:pPr>
        <w:widowControl w:val="0"/>
        <w:numPr>
          <w:ilvl w:val="0"/>
          <w:numId w:val="4"/>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 polimerasi di Klenow può fare nick-translation (V/F)</w:t>
      </w:r>
    </w:p>
    <w:p w:rsidR="00000000" w:rsidDel="00000000" w:rsidP="00000000" w:rsidRDefault="00000000" w:rsidRPr="00000000" w14:paraId="0000008B">
      <w:pPr>
        <w:widowControl w:val="0"/>
        <w:numPr>
          <w:ilvl w:val="0"/>
          <w:numId w:val="4"/>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 maggioranza dei promotori riconosciuti dalla RNA polimerasi III sono situati a monte del sito di inizio della trascrizione (V/F)</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u w:val="single"/>
        </w:rPr>
      </w:pPr>
      <w:r w:rsidDel="00000000" w:rsidR="00000000" w:rsidRPr="00000000">
        <w:rPr>
          <w:rFonts w:ascii="Open Sans" w:cs="Open Sans" w:eastAsia="Open Sans" w:hAnsi="Open Sans"/>
          <w:color w:val="000000"/>
          <w:u w:val="single"/>
          <w:rtl w:val="0"/>
        </w:rPr>
        <w:t xml:space="preserve">Chimica Generale, inorganica e Organica</w:t>
      </w:r>
    </w:p>
    <w:p w:rsidR="00000000" w:rsidDel="00000000" w:rsidP="00000000" w:rsidRDefault="00000000" w:rsidRPr="00000000" w14:paraId="0000008E">
      <w:pPr>
        <w:widowControl w:val="0"/>
        <w:numPr>
          <w:ilvl w:val="0"/>
          <w:numId w:val="3"/>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Una soluzione di formiato di sodio (Na</w:t>
      </w:r>
      <w:r w:rsidDel="00000000" w:rsidR="00000000" w:rsidRPr="00000000">
        <w:rPr>
          <w:rFonts w:ascii="Open Sans" w:cs="Open Sans" w:eastAsia="Open Sans" w:hAnsi="Open Sans"/>
          <w:color w:val="000000"/>
          <w:vertAlign w:val="superscript"/>
          <w:rtl w:val="0"/>
        </w:rPr>
        <w:t xml:space="preserve">+</w:t>
      </w:r>
      <w:r w:rsidDel="00000000" w:rsidR="00000000" w:rsidRPr="00000000">
        <w:rPr>
          <w:rFonts w:ascii="Open Sans" w:cs="Open Sans" w:eastAsia="Open Sans" w:hAnsi="Open Sans"/>
          <w:color w:val="000000"/>
          <w:rtl w:val="0"/>
        </w:rPr>
        <w:t xml:space="preserve">HCOO</w:t>
      </w:r>
      <w:r w:rsidDel="00000000" w:rsidR="00000000" w:rsidRPr="00000000">
        <w:rPr>
          <w:rFonts w:ascii="Open Sans" w:cs="Open Sans" w:eastAsia="Open Sans" w:hAnsi="Open Sans"/>
          <w:color w:val="000000"/>
          <w:vertAlign w:val="superscript"/>
          <w:rtl w:val="0"/>
        </w:rPr>
        <w:t xml:space="preserve">-</w:t>
      </w:r>
      <w:r w:rsidDel="00000000" w:rsidR="00000000" w:rsidRPr="00000000">
        <w:rPr>
          <w:rFonts w:ascii="Open Sans" w:cs="Open Sans" w:eastAsia="Open Sans" w:hAnsi="Open Sans"/>
          <w:color w:val="000000"/>
          <w:rtl w:val="0"/>
        </w:rPr>
        <w:t xml:space="preserve">) ha un pH neutro 7 (V/F)</w:t>
      </w:r>
    </w:p>
    <w:p w:rsidR="00000000" w:rsidDel="00000000" w:rsidP="00000000" w:rsidRDefault="00000000" w:rsidRPr="00000000" w14:paraId="0000008F">
      <w:pPr>
        <w:widowControl w:val="0"/>
        <w:numPr>
          <w:ilvl w:val="0"/>
          <w:numId w:val="3"/>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 formula dell'acido iodidrico è HIO</w:t>
      </w:r>
      <w:r w:rsidDel="00000000" w:rsidR="00000000" w:rsidRPr="00000000">
        <w:rPr>
          <w:rFonts w:ascii="Open Sans" w:cs="Open Sans" w:eastAsia="Open Sans" w:hAnsi="Open Sans"/>
          <w:color w:val="000000"/>
          <w:vertAlign w:val="subscript"/>
          <w:rtl w:val="0"/>
        </w:rPr>
        <w:t xml:space="preserve">4</w:t>
      </w:r>
      <w:r w:rsidDel="00000000" w:rsidR="00000000" w:rsidRPr="00000000">
        <w:rPr>
          <w:rFonts w:ascii="Open Sans" w:cs="Open Sans" w:eastAsia="Open Sans" w:hAnsi="Open Sans"/>
          <w:color w:val="000000"/>
          <w:rtl w:val="0"/>
        </w:rPr>
        <w:t xml:space="preserve"> (V/F)</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u w:val="single"/>
        </w:rPr>
      </w:pPr>
      <w:r w:rsidDel="00000000" w:rsidR="00000000" w:rsidRPr="00000000">
        <w:rPr>
          <w:rFonts w:ascii="Open Sans" w:cs="Open Sans" w:eastAsia="Open Sans" w:hAnsi="Open Sans"/>
          <w:color w:val="000000"/>
          <w:u w:val="single"/>
          <w:rtl w:val="0"/>
        </w:rPr>
        <w:t xml:space="preserve">Chimica Organica</w:t>
      </w:r>
    </w:p>
    <w:p w:rsidR="00000000" w:rsidDel="00000000" w:rsidP="00000000" w:rsidRDefault="00000000" w:rsidRPr="00000000" w14:paraId="00000091">
      <w:pPr>
        <w:widowControl w:val="0"/>
        <w:numPr>
          <w:ilvl w:val="0"/>
          <w:numId w:val="3"/>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Il carbonio alfa ad un gruppo carbonilico in opportune condizioni può comportarsi da nucleofilo (V/F)</w:t>
      </w:r>
    </w:p>
    <w:p w:rsidR="00000000" w:rsidDel="00000000" w:rsidP="00000000" w:rsidRDefault="00000000" w:rsidRPr="00000000" w14:paraId="00000092">
      <w:pPr>
        <w:widowControl w:val="0"/>
        <w:numPr>
          <w:ilvl w:val="0"/>
          <w:numId w:val="3"/>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Il legame che unisce due monosaccaridi è un legame acetalico (V/F)</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u w:val="single"/>
        </w:rPr>
      </w:pPr>
      <w:r w:rsidDel="00000000" w:rsidR="00000000" w:rsidRPr="00000000">
        <w:rPr>
          <w:rFonts w:ascii="Open Sans" w:cs="Open Sans" w:eastAsia="Open Sans" w:hAnsi="Open Sans"/>
          <w:color w:val="000000"/>
          <w:u w:val="single"/>
          <w:rtl w:val="0"/>
        </w:rPr>
        <w:t xml:space="preserve">Genetica</w:t>
      </w:r>
    </w:p>
    <w:p w:rsidR="00000000" w:rsidDel="00000000" w:rsidP="00000000" w:rsidRDefault="00000000" w:rsidRPr="00000000" w14:paraId="00000095">
      <w:pPr>
        <w:widowControl w:val="0"/>
        <w:numPr>
          <w:ilvl w:val="0"/>
          <w:numId w:val="5"/>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 ricombinazione omologa può avvenire sia tra cromosomi omologhi che tra cromatidi fratelli (V/F)</w:t>
      </w:r>
    </w:p>
    <w:p w:rsidR="00000000" w:rsidDel="00000000" w:rsidP="00000000" w:rsidRDefault="00000000" w:rsidRPr="00000000" w14:paraId="00000096">
      <w:pPr>
        <w:widowControl w:val="0"/>
        <w:numPr>
          <w:ilvl w:val="0"/>
          <w:numId w:val="5"/>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Due geni A e B localizzati sullo stesso cromosoma e distanti 60 cM ricombinano con una frequenza del 60% (V/F)</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u w:val="single"/>
        </w:rPr>
      </w:pPr>
      <w:r w:rsidDel="00000000" w:rsidR="00000000" w:rsidRPr="00000000">
        <w:rPr>
          <w:rFonts w:ascii="Open Sans" w:cs="Open Sans" w:eastAsia="Open Sans" w:hAnsi="Open Sans"/>
          <w:color w:val="000000"/>
          <w:u w:val="single"/>
          <w:rtl w:val="0"/>
        </w:rPr>
        <w:t xml:space="preserve">Microbiologia</w:t>
      </w:r>
    </w:p>
    <w:p w:rsidR="00000000" w:rsidDel="00000000" w:rsidP="00000000" w:rsidRDefault="00000000" w:rsidRPr="00000000" w14:paraId="00000099">
      <w:pPr>
        <w:widowControl w:val="0"/>
        <w:numPr>
          <w:ilvl w:val="0"/>
          <w:numId w:val="6"/>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L'azotofissazione è possibile grazie ad un complesso enzimatico finora riscontrato solo nei procarioti (V/F)</w:t>
      </w:r>
    </w:p>
    <w:p w:rsidR="00000000" w:rsidDel="00000000" w:rsidP="00000000" w:rsidRDefault="00000000" w:rsidRPr="00000000" w14:paraId="0000009A">
      <w:pPr>
        <w:widowControl w:val="0"/>
        <w:numPr>
          <w:ilvl w:val="0"/>
          <w:numId w:val="6"/>
        </w:numPr>
        <w:pBdr>
          <w:top w:space="0" w:sz="0" w:val="nil"/>
          <w:left w:space="0" w:sz="0" w:val="nil"/>
          <w:bottom w:space="0" w:sz="0" w:val="nil"/>
          <w:right w:space="0" w:sz="0" w:val="nil"/>
          <w:between w:space="0" w:sz="0" w:val="nil"/>
        </w:pBdr>
        <w:tabs>
          <w:tab w:val="left" w:leader="none" w:pos="3700"/>
        </w:tabs>
        <w:spacing w:before="197" w:lineRule="auto"/>
        <w:ind w:left="720" w:hanging="360"/>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Le porine sono proteine associate alla membrana esterna dei batteri Gram negativi (V/F)</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tabs>
          <w:tab w:val="left" w:leader="none" w:pos="3700"/>
        </w:tabs>
        <w:spacing w:before="197"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9C">
      <w:pPr>
        <w:widowControl w:val="0"/>
        <w:jc w:val="both"/>
        <w:rPr>
          <w:rFonts w:ascii="Open Sans" w:cs="Open Sans" w:eastAsia="Open Sans" w:hAnsi="Open Sans"/>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819"/>
        <w:tab w:val="right" w:leader="none" w:pos="9638"/>
      </w:tabs>
      <w:jc w:val="right"/>
      <w:rPr>
        <w:rFonts w:ascii="Open Sans Light" w:cs="Open Sans Light" w:eastAsia="Open Sans Light" w:hAnsi="Open Sans Light"/>
        <w:b w:val="1"/>
        <w:smallCaps w:val="1"/>
        <w:color w:val="000000"/>
        <w:sz w:val="18"/>
        <w:szCs w:val="18"/>
      </w:rPr>
    </w:pPr>
    <w:r w:rsidDel="00000000" w:rsidR="00000000" w:rsidRPr="00000000">
      <w:rPr>
        <w:rFonts w:ascii="Open Sans Light" w:cs="Open Sans Light" w:eastAsia="Open Sans Light" w:hAnsi="Open Sans Light"/>
        <w:b w:val="1"/>
        <w:smallCaps w:val="1"/>
        <w:color w:val="000000"/>
        <w:sz w:val="18"/>
        <w:szCs w:val="18"/>
        <w:rtl w:val="0"/>
      </w:rPr>
      <w:t xml:space="preserve">Dipartimento di</w:t>
    </w:r>
    <w:r w:rsidDel="00000000" w:rsidR="00000000" w:rsidRPr="00000000">
      <w:drawing>
        <wp:anchor allowOverlap="1" behindDoc="0" distB="0" distT="0" distL="114300" distR="114300" hidden="0" layoutInCell="1" locked="0" relativeHeight="0" simplePos="0">
          <wp:simplePos x="0" y="0"/>
          <wp:positionH relativeFrom="column">
            <wp:posOffset>1695</wp:posOffset>
          </wp:positionH>
          <wp:positionV relativeFrom="paragraph">
            <wp:posOffset>184134</wp:posOffset>
          </wp:positionV>
          <wp:extent cx="342900" cy="3429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2900" cy="342900"/>
                  </a:xfrm>
                  <a:prstGeom prst="rect"/>
                  <a:ln/>
                </pic:spPr>
              </pic:pic>
            </a:graphicData>
          </a:graphic>
        </wp:anchor>
      </w:drawing>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819"/>
        <w:tab w:val="right" w:leader="none" w:pos="9638"/>
      </w:tabs>
      <w:jc w:val="right"/>
      <w:rPr>
        <w:rFonts w:ascii="Open Sans Light" w:cs="Open Sans Light" w:eastAsia="Open Sans Light" w:hAnsi="Open Sans Light"/>
        <w:b w:val="1"/>
        <w:smallCaps w:val="1"/>
        <w:color w:val="000000"/>
        <w:sz w:val="18"/>
        <w:szCs w:val="18"/>
      </w:rPr>
    </w:pPr>
    <w:r w:rsidDel="00000000" w:rsidR="00000000" w:rsidRPr="00000000">
      <w:rPr>
        <w:rFonts w:ascii="Open Sans Light" w:cs="Open Sans Light" w:eastAsia="Open Sans Light" w:hAnsi="Open Sans Light"/>
        <w:b w:val="1"/>
        <w:smallCaps w:val="1"/>
        <w:color w:val="000000"/>
        <w:sz w:val="18"/>
        <w:szCs w:val="18"/>
        <w:rtl w:val="0"/>
      </w:rPr>
      <w:t xml:space="preserve">Biotecnologie e Bioscienze</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819"/>
        <w:tab w:val="right" w:leader="none" w:pos="9638"/>
      </w:tabs>
      <w:jc w:val="right"/>
      <w:rPr>
        <w:rFonts w:ascii="Open Sans Light" w:cs="Open Sans Light" w:eastAsia="Open Sans Light" w:hAnsi="Open Sans Light"/>
        <w:color w:val="000000"/>
        <w:sz w:val="18"/>
        <w:szCs w:val="18"/>
      </w:rPr>
    </w:pPr>
    <w:r w:rsidDel="00000000" w:rsidR="00000000" w:rsidRPr="00000000">
      <w:rPr>
        <w:rFonts w:ascii="Open Sans Light" w:cs="Open Sans Light" w:eastAsia="Open Sans Light" w:hAnsi="Open Sans Light"/>
        <w:color w:val="000000"/>
        <w:sz w:val="18"/>
        <w:szCs w:val="18"/>
        <w:rtl w:val="0"/>
      </w:rPr>
      <w:t xml:space="preserve">Piazza della Scienza 2</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819"/>
        <w:tab w:val="right" w:leader="none" w:pos="9638"/>
      </w:tabs>
      <w:jc w:val="right"/>
      <w:rPr>
        <w:rFonts w:ascii="Open Sans Light" w:cs="Open Sans Light" w:eastAsia="Open Sans Light" w:hAnsi="Open Sans Light"/>
        <w:color w:val="000000"/>
        <w:sz w:val="18"/>
        <w:szCs w:val="18"/>
      </w:rPr>
    </w:pPr>
    <w:r w:rsidDel="00000000" w:rsidR="00000000" w:rsidRPr="00000000">
      <w:rPr>
        <w:rFonts w:ascii="Open Sans Light" w:cs="Open Sans Light" w:eastAsia="Open Sans Light" w:hAnsi="Open Sans Light"/>
        <w:color w:val="000000"/>
        <w:sz w:val="18"/>
        <w:szCs w:val="18"/>
        <w:rtl w:val="0"/>
      </w:rPr>
      <w:t xml:space="preserve">20126 Milano</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819"/>
        <w:tab w:val="right" w:leader="none" w:pos="9638"/>
      </w:tabs>
      <w:jc w:val="right"/>
      <w:rPr>
        <w:rFonts w:ascii="Open Sans Light" w:cs="Open Sans Light" w:eastAsia="Open Sans Light" w:hAnsi="Open Sans Light"/>
        <w:color w:val="000000"/>
        <w:sz w:val="18"/>
        <w:szCs w:val="18"/>
      </w:rPr>
    </w:pPr>
    <w:r w:rsidDel="00000000" w:rsidR="00000000" w:rsidRPr="00000000">
      <w:rPr>
        <w:rFonts w:ascii="Open Sans Light" w:cs="Open Sans Light" w:eastAsia="Open Sans Light" w:hAnsi="Open Sans Light"/>
        <w:color w:val="000000"/>
        <w:sz w:val="18"/>
        <w:szCs w:val="18"/>
        <w:rtl w:val="0"/>
      </w:rPr>
      <w:t xml:space="preserve">www.btbs.unimib.it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819"/>
        <w:tab w:val="right" w:leader="none" w:pos="9638"/>
      </w:tabs>
      <w:jc w:val="right"/>
      <w:rPr>
        <w:rFonts w:ascii="Open Sans Light" w:cs="Open Sans Light" w:eastAsia="Open Sans Light" w:hAnsi="Open Sans Light"/>
        <w:b w:val="1"/>
        <w:color w:val="000000"/>
        <w:sz w:val="18"/>
        <w:szCs w:val="18"/>
      </w:rPr>
    </w:pPr>
    <w:r w:rsidDel="00000000" w:rsidR="00000000" w:rsidRPr="00000000">
      <w:rPr>
        <w:rFonts w:ascii="Open Sans Light" w:cs="Open Sans Light" w:eastAsia="Open Sans Light" w:hAnsi="Open Sans Light"/>
        <w:b w:val="1"/>
        <w:color w:val="000000"/>
        <w:sz w:val="18"/>
        <w:szCs w:val="18"/>
        <w:rtl w:val="0"/>
      </w:rPr>
      <w:t xml:space="preserve">Laurea Triennale in Biotecnologie</w:t>
    </w:r>
    <w:r w:rsidDel="00000000" w:rsidR="00000000" w:rsidRPr="00000000">
      <w:drawing>
        <wp:anchor allowOverlap="1" behindDoc="0" distB="0" distT="0" distL="114300" distR="114300" hidden="0" layoutInCell="1" locked="0" relativeHeight="0" simplePos="0">
          <wp:simplePos x="0" y="0"/>
          <wp:positionH relativeFrom="column">
            <wp:posOffset>-1778</wp:posOffset>
          </wp:positionH>
          <wp:positionV relativeFrom="paragraph">
            <wp:posOffset>25412</wp:posOffset>
          </wp:positionV>
          <wp:extent cx="1683779" cy="879034"/>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83779" cy="879034"/>
                  </a:xfrm>
                  <a:prstGeom prst="rect"/>
                  <a:ln/>
                </pic:spPr>
              </pic:pic>
            </a:graphicData>
          </a:graphic>
        </wp:anchor>
      </w:drawing>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819"/>
        <w:tab w:val="right" w:leader="none" w:pos="9638"/>
      </w:tabs>
      <w:jc w:val="right"/>
      <w:rPr>
        <w:rFonts w:ascii="Open Sans Light" w:cs="Open Sans Light" w:eastAsia="Open Sans Light" w:hAnsi="Open Sans Light"/>
        <w:color w:val="000000"/>
        <w:sz w:val="18"/>
        <w:szCs w:val="18"/>
      </w:rPr>
    </w:pPr>
    <w:r w:rsidDel="00000000" w:rsidR="00000000" w:rsidRPr="00000000">
      <w:rPr>
        <w:rFonts w:ascii="Open Sans Light" w:cs="Open Sans Light" w:eastAsia="Open Sans Light" w:hAnsi="Open Sans Light"/>
        <w:color w:val="000000"/>
        <w:sz w:val="18"/>
        <w:szCs w:val="18"/>
        <w:rtl w:val="0"/>
      </w:rPr>
      <w:t xml:space="preserve">didattica.unimib.it/E0201Q</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819"/>
        <w:tab w:val="right" w:leader="none" w:pos="9638"/>
      </w:tabs>
      <w:jc w:val="right"/>
      <w:rPr>
        <w:rFonts w:ascii="Open Sans Light" w:cs="Open Sans Light" w:eastAsia="Open Sans Light" w:hAnsi="Open Sans Light"/>
        <w:b w:val="1"/>
        <w:color w:val="000000"/>
        <w:sz w:val="18"/>
        <w:szCs w:val="18"/>
      </w:rPr>
    </w:pPr>
    <w:r w:rsidDel="00000000" w:rsidR="00000000" w:rsidRPr="00000000">
      <w:rPr>
        <w:rFonts w:ascii="Open Sans Light" w:cs="Open Sans Light" w:eastAsia="Open Sans Light" w:hAnsi="Open Sans Light"/>
        <w:b w:val="1"/>
        <w:color w:val="000000"/>
        <w:sz w:val="18"/>
        <w:szCs w:val="18"/>
        <w:rtl w:val="0"/>
      </w:rPr>
      <w:t xml:space="preserve">Laurea Magistrale in Biotecnologie Industriali</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819"/>
        <w:tab w:val="right" w:leader="none" w:pos="9638"/>
      </w:tabs>
      <w:jc w:val="right"/>
      <w:rPr>
        <w:rFonts w:ascii="Open Sans Light" w:cs="Open Sans Light" w:eastAsia="Open Sans Light" w:hAnsi="Open Sans Light"/>
        <w:color w:val="000000"/>
        <w:sz w:val="18"/>
        <w:szCs w:val="18"/>
      </w:rPr>
    </w:pPr>
    <w:r w:rsidDel="00000000" w:rsidR="00000000" w:rsidRPr="00000000">
      <w:rPr>
        <w:rFonts w:ascii="Open Sans Light" w:cs="Open Sans Light" w:eastAsia="Open Sans Light" w:hAnsi="Open Sans Light"/>
        <w:color w:val="000000"/>
        <w:sz w:val="18"/>
        <w:szCs w:val="18"/>
        <w:rtl w:val="0"/>
      </w:rPr>
      <w:t xml:space="preserve">didattica.unimib.it/F0802Q</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819"/>
        <w:tab w:val="right" w:leader="none" w:pos="9638"/>
      </w:tabs>
      <w:jc w:val="right"/>
      <w:rPr>
        <w:rFonts w:ascii="Open Sans Light" w:cs="Open Sans Light" w:eastAsia="Open Sans Light" w:hAnsi="Open Sans Light"/>
        <w:color w:val="000000"/>
        <w:sz w:val="18"/>
        <w:szCs w:val="18"/>
      </w:rPr>
    </w:pPr>
    <w:r w:rsidDel="00000000" w:rsidR="00000000" w:rsidRPr="00000000">
      <w:rPr>
        <w:rFonts w:ascii="Open Sans Light" w:cs="Open Sans Light" w:eastAsia="Open Sans Light" w:hAnsi="Open Sans Light"/>
        <w:color w:val="000000"/>
        <w:sz w:val="18"/>
        <w:szCs w:val="18"/>
        <w:rtl w:val="0"/>
      </w:rPr>
      <w:t xml:space="preserve">e-mail: didattica.btbs@unimib.it</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819"/>
        <w:tab w:val="right" w:leader="none" w:pos="9638"/>
      </w:tabs>
      <w:jc w:val="right"/>
      <w:rPr>
        <w:rFonts w:ascii="Open Sans Light" w:cs="Open Sans Light" w:eastAsia="Open Sans Light" w:hAnsi="Open Sans Light"/>
        <w:i w:val="1"/>
        <w:color w:val="000000"/>
        <w:sz w:val="18"/>
        <w:szCs w:val="18"/>
      </w:rPr>
    </w:pPr>
    <w:r w:rsidDel="00000000" w:rsidR="00000000" w:rsidRPr="00000000">
      <w:rPr>
        <w:rFonts w:ascii="Open Sans Light" w:cs="Open Sans Light" w:eastAsia="Open Sans Light" w:hAnsi="Open Sans Light"/>
        <w:color w:val="000000"/>
        <w:sz w:val="18"/>
        <w:szCs w:val="18"/>
        <w:rtl w:val="0"/>
      </w:rPr>
      <w:t xml:space="preserve">Tel. 02 6448 3346</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pacing w:after="100" w:before="10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276" w:lineRule="auto"/>
    </w:pPr>
    <w:rPr>
      <w:rFonts w:ascii="Calibri" w:cs="Calibri" w:eastAsia="Calibri" w:hAnsi="Calibri"/>
      <w:b w:val="1"/>
      <w:color w:val="000000"/>
      <w:sz w:val="72"/>
      <w:szCs w:val="72"/>
    </w:rPr>
  </w:style>
  <w:style w:type="paragraph" w:styleId="Normale" w:default="1">
    <w:name w:val="Normal"/>
    <w:qFormat w:val="1"/>
    <w:rsid w:val="00A8682B"/>
    <w:pPr>
      <w:spacing w:after="0" w:line="240" w:lineRule="auto"/>
    </w:pPr>
    <w:rPr>
      <w:rFonts w:ascii="Times New Roman" w:cs="Times New Roman" w:eastAsia="Times New Roman" w:hAnsi="Times New Roman"/>
      <w:sz w:val="24"/>
      <w:szCs w:val="24"/>
    </w:rPr>
  </w:style>
  <w:style w:type="paragraph" w:styleId="Titolo1">
    <w:name w:val="heading 1"/>
    <w:basedOn w:val="Normale"/>
    <w:next w:val="Normale"/>
    <w:uiPriority w:val="9"/>
    <w:qFormat w:val="1"/>
    <w:pPr>
      <w:keepNext w:val="1"/>
      <w:keepLines w:val="1"/>
      <w:pBdr>
        <w:top w:space="0" w:sz="0" w:val="nil"/>
        <w:left w:space="0" w:sz="0" w:val="nil"/>
        <w:bottom w:space="0" w:sz="0" w:val="nil"/>
        <w:right w:space="0" w:sz="0" w:val="nil"/>
        <w:between w:space="0" w:sz="0" w:val="nil"/>
      </w:pBdr>
      <w:spacing w:after="120" w:before="480" w:line="276" w:lineRule="auto"/>
      <w:outlineLvl w:val="0"/>
    </w:pPr>
    <w:rPr>
      <w:rFonts w:ascii="Calibri" w:cs="Calibri" w:eastAsia="Calibri" w:hAnsi="Calibri"/>
      <w:b w:val="1"/>
      <w:color w:val="000000"/>
      <w:sz w:val="48"/>
      <w:szCs w:val="48"/>
    </w:rPr>
  </w:style>
  <w:style w:type="paragraph" w:styleId="Titolo2">
    <w:name w:val="heading 2"/>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line="276" w:lineRule="auto"/>
      <w:outlineLvl w:val="1"/>
    </w:pPr>
    <w:rPr>
      <w:rFonts w:ascii="Calibri" w:cs="Calibri" w:eastAsia="Calibri" w:hAnsi="Calibri"/>
      <w:b w:val="1"/>
      <w:color w:val="000000"/>
      <w:sz w:val="36"/>
      <w:szCs w:val="36"/>
    </w:rPr>
  </w:style>
  <w:style w:type="paragraph" w:styleId="Titolo3">
    <w:name w:val="heading 3"/>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uiPriority w:val="9"/>
    <w:semiHidden w:val="1"/>
    <w:unhideWhenUsed w:val="1"/>
    <w:qFormat w:val="1"/>
    <w:pPr>
      <w:pBdr>
        <w:top w:space="0" w:sz="0" w:val="nil"/>
        <w:left w:space="0" w:sz="0" w:val="nil"/>
        <w:bottom w:space="0" w:sz="0" w:val="nil"/>
        <w:right w:space="0" w:sz="0" w:val="nil"/>
        <w:between w:space="0" w:sz="0" w:val="nil"/>
      </w:pBdr>
      <w:spacing w:after="100" w:before="100"/>
      <w:outlineLvl w:val="3"/>
    </w:pPr>
    <w:rPr>
      <w:b w:val="1"/>
      <w:color w:val="000000"/>
    </w:rPr>
  </w:style>
  <w:style w:type="paragraph" w:styleId="Titolo5">
    <w:name w:val="heading 5"/>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Titolo6">
    <w:name w:val="heading 6"/>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pBdr>
        <w:top w:space="0" w:sz="0" w:val="nil"/>
        <w:left w:space="0" w:sz="0" w:val="nil"/>
        <w:bottom w:space="0" w:sz="0" w:val="nil"/>
        <w:right w:space="0" w:sz="0" w:val="nil"/>
        <w:between w:space="0" w:sz="0" w:val="nil"/>
      </w:pBdr>
      <w:spacing w:after="120" w:before="480" w:line="276" w:lineRule="auto"/>
    </w:pPr>
    <w:rPr>
      <w:rFonts w:ascii="Calibri" w:cs="Calibri" w:eastAsia="Calibri" w:hAnsi="Calibri"/>
      <w:b w:val="1"/>
      <w:color w:val="000000"/>
      <w:sz w:val="72"/>
      <w:szCs w:val="72"/>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76" w:lineRule="auto"/>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3510FD"/>
    <w:rPr>
      <w:color w:val="0000ff" w:themeColor="hyperlink"/>
      <w:u w:val="single"/>
    </w:rPr>
  </w:style>
  <w:style w:type="character" w:styleId="Menzionenonrisolta">
    <w:name w:val="Unresolved Mention"/>
    <w:basedOn w:val="Carpredefinitoparagrafo"/>
    <w:uiPriority w:val="99"/>
    <w:semiHidden w:val="1"/>
    <w:unhideWhenUsed w:val="1"/>
    <w:rsid w:val="003510FD"/>
    <w:rPr>
      <w:color w:val="605e5c"/>
      <w:shd w:color="auto" w:fill="e1dfdd" w:val="clear"/>
    </w:rPr>
  </w:style>
  <w:style w:type="character" w:styleId="Rimandocommento">
    <w:name w:val="annotation reference"/>
    <w:basedOn w:val="Carpredefinitoparagrafo"/>
    <w:uiPriority w:val="99"/>
    <w:semiHidden w:val="1"/>
    <w:unhideWhenUsed w:val="1"/>
    <w:rsid w:val="00096242"/>
    <w:rPr>
      <w:sz w:val="16"/>
      <w:szCs w:val="16"/>
    </w:rPr>
  </w:style>
  <w:style w:type="paragraph" w:styleId="Testocommento">
    <w:name w:val="annotation text"/>
    <w:basedOn w:val="Normale"/>
    <w:link w:val="TestocommentoCarattere"/>
    <w:uiPriority w:val="99"/>
    <w:semiHidden w:val="1"/>
    <w:unhideWhenUsed w:val="1"/>
    <w:rsid w:val="00096242"/>
    <w:pPr>
      <w:spacing w:after="200"/>
    </w:pPr>
    <w:rPr>
      <w:rFonts w:ascii="Calibri" w:cs="Calibri" w:eastAsia="Calibri" w:hAnsi="Calibri"/>
      <w:sz w:val="20"/>
      <w:szCs w:val="20"/>
    </w:rPr>
  </w:style>
  <w:style w:type="character" w:styleId="TestocommentoCarattere" w:customStyle="1">
    <w:name w:val="Testo commento Carattere"/>
    <w:basedOn w:val="Carpredefinitoparagrafo"/>
    <w:link w:val="Testocommento"/>
    <w:uiPriority w:val="99"/>
    <w:semiHidden w:val="1"/>
    <w:rsid w:val="00096242"/>
    <w:rPr>
      <w:sz w:val="20"/>
      <w:szCs w:val="20"/>
    </w:rPr>
  </w:style>
  <w:style w:type="paragraph" w:styleId="Soggettocommento">
    <w:name w:val="annotation subject"/>
    <w:basedOn w:val="Testocommento"/>
    <w:next w:val="Testocommento"/>
    <w:link w:val="SoggettocommentoCarattere"/>
    <w:uiPriority w:val="99"/>
    <w:semiHidden w:val="1"/>
    <w:unhideWhenUsed w:val="1"/>
    <w:rsid w:val="00096242"/>
    <w:rPr>
      <w:b w:val="1"/>
      <w:bCs w:val="1"/>
    </w:rPr>
  </w:style>
  <w:style w:type="character" w:styleId="SoggettocommentoCarattere" w:customStyle="1">
    <w:name w:val="Soggetto commento Carattere"/>
    <w:basedOn w:val="TestocommentoCarattere"/>
    <w:link w:val="Soggettocommento"/>
    <w:uiPriority w:val="99"/>
    <w:semiHidden w:val="1"/>
    <w:rsid w:val="00096242"/>
    <w:rPr>
      <w:b w:val="1"/>
      <w:bCs w:val="1"/>
      <w:sz w:val="20"/>
      <w:szCs w:val="20"/>
    </w:rPr>
  </w:style>
  <w:style w:type="paragraph" w:styleId="NormaleWeb">
    <w:name w:val="Normal (Web)"/>
    <w:basedOn w:val="Normale"/>
    <w:uiPriority w:val="99"/>
    <w:semiHidden w:val="1"/>
    <w:unhideWhenUsed w:val="1"/>
    <w:rsid w:val="00A8682B"/>
    <w:pPr>
      <w:spacing w:after="100" w:afterAutospacing="1" w:before="100" w:beforeAutospacing="1"/>
    </w:pPr>
  </w:style>
  <w:style w:type="character" w:styleId="Collegamentovisitato">
    <w:name w:val="FollowedHyperlink"/>
    <w:basedOn w:val="Carpredefinitoparagrafo"/>
    <w:uiPriority w:val="99"/>
    <w:semiHidden w:val="1"/>
    <w:unhideWhenUsed w:val="1"/>
    <w:rsid w:val="00A316E6"/>
    <w:rPr>
      <w:color w:val="800080" w:themeColor="followed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76"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imib.it/magistrale/biotecnologie-industriali"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n/Eql+xZ1fqkbtNn922TC0bfag==">CgMxLjA4AHIhMUlIaG9WYUNXNUdPU2p0V3diTU55UHpkdlpPWnplRWdf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2024-03-20T15:20:00Z</dcterms:created>
</cp:coreProperties>
</file>