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39D" w:rsidRPr="00BE539D" w:rsidRDefault="00BE539D" w:rsidP="00BE539D">
      <w:pPr>
        <w:shd w:val="clear" w:color="auto" w:fill="FFFFFF"/>
        <w:spacing w:after="0" w:line="240" w:lineRule="auto"/>
        <w:jc w:val="center"/>
        <w:textAlignment w:val="baseline"/>
        <w:rPr>
          <w:rFonts w:ascii="Times New Roman" w:eastAsia="Times New Roman" w:hAnsi="Times New Roman" w:cs="Times New Roman"/>
          <w:caps/>
          <w:color w:val="000000"/>
          <w:sz w:val="24"/>
          <w:szCs w:val="24"/>
          <w:lang w:eastAsia="it-IT"/>
        </w:rPr>
      </w:pPr>
      <w:r w:rsidRPr="00BE539D">
        <w:rPr>
          <w:rFonts w:ascii="Times New Roman" w:eastAsia="Times New Roman" w:hAnsi="Times New Roman" w:cs="Times New Roman"/>
          <w:caps/>
          <w:color w:val="000000"/>
          <w:sz w:val="24"/>
          <w:szCs w:val="24"/>
          <w:lang w:eastAsia="it-IT"/>
        </w:rPr>
        <w:t>N. 168</w:t>
      </w:r>
    </w:p>
    <w:p w:rsidR="00BE539D" w:rsidRPr="00BE539D" w:rsidRDefault="00BE539D" w:rsidP="00BE539D">
      <w:pPr>
        <w:shd w:val="clear" w:color="auto" w:fill="FFFFFF"/>
        <w:spacing w:after="0" w:line="240" w:lineRule="auto"/>
        <w:jc w:val="center"/>
        <w:textAlignment w:val="baseline"/>
        <w:rPr>
          <w:rFonts w:ascii="Times New Roman" w:eastAsia="Times New Roman" w:hAnsi="Times New Roman" w:cs="Times New Roman"/>
          <w:caps/>
          <w:color w:val="000000"/>
          <w:sz w:val="36"/>
          <w:szCs w:val="36"/>
          <w:lang w:eastAsia="it-IT"/>
        </w:rPr>
      </w:pPr>
      <w:r w:rsidRPr="00BE539D">
        <w:rPr>
          <w:rFonts w:ascii="Times New Roman" w:eastAsia="Times New Roman" w:hAnsi="Times New Roman" w:cs="Times New Roman"/>
          <w:caps/>
          <w:color w:val="000000"/>
          <w:sz w:val="36"/>
          <w:szCs w:val="36"/>
          <w:lang w:eastAsia="it-IT"/>
        </w:rPr>
        <w:t>SENTENZA 27-28 APRILE 1994</w:t>
      </w:r>
    </w:p>
    <w:p w:rsidR="00BE539D" w:rsidRPr="00BE539D" w:rsidRDefault="00BE539D" w:rsidP="00BE539D">
      <w:pPr>
        <w:shd w:val="clear" w:color="auto" w:fill="FFFFFF"/>
        <w:spacing w:before="567" w:after="284" w:line="240" w:lineRule="auto"/>
        <w:jc w:val="center"/>
        <w:textAlignment w:val="baseline"/>
        <w:rPr>
          <w:rFonts w:ascii="Times New Roman" w:eastAsia="Times New Roman" w:hAnsi="Times New Roman" w:cs="Times New Roman"/>
          <w:caps/>
          <w:color w:val="000000"/>
          <w:sz w:val="24"/>
          <w:szCs w:val="24"/>
          <w:lang w:eastAsia="it-IT"/>
        </w:rPr>
      </w:pPr>
      <w:r w:rsidRPr="00BE539D">
        <w:rPr>
          <w:rFonts w:ascii="Times New Roman" w:eastAsia="Times New Roman" w:hAnsi="Times New Roman" w:cs="Times New Roman"/>
          <w:caps/>
          <w:color w:val="000000"/>
          <w:sz w:val="24"/>
          <w:szCs w:val="24"/>
          <w:lang w:eastAsia="it-IT"/>
        </w:rPr>
        <w:t>LA CORTE COSTITUZIONALE</w:t>
      </w:r>
    </w:p>
    <w:p w:rsidR="00BE539D" w:rsidRPr="00BE539D" w:rsidRDefault="00BE539D" w:rsidP="00BE539D">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it-IT"/>
        </w:rPr>
      </w:pPr>
      <w:r w:rsidRPr="00BE539D">
        <w:rPr>
          <w:rFonts w:ascii="Times New Roman" w:eastAsia="Times New Roman" w:hAnsi="Times New Roman" w:cs="Times New Roman"/>
          <w:color w:val="000000"/>
          <w:sz w:val="24"/>
          <w:szCs w:val="24"/>
          <w:lang w:eastAsia="it-IT"/>
        </w:rPr>
        <w:t>composta dai signori: Presidente: prof. Francesco Paolo CASAVOLA; Giudici: avv. Ugo SPAGNOLI, prof. Vincenzo CAIANIELLO, avv. Mauro FERRI, prof. Luigi MENGONI, prof. Enzo CHELI, dott. Renato GRANATA, prof. Giuliano VASSALLI, prof. Francesco GUIZZI, prof. Cesare MIRABELLI, prof. Fernando SANTOSUOSSO, avv. Massimo VARI, dott. Cesare RUPERTO;</w:t>
      </w:r>
    </w:p>
    <w:p w:rsidR="00BE539D" w:rsidRPr="00BE539D" w:rsidRDefault="00BE539D" w:rsidP="00BE539D">
      <w:pPr>
        <w:spacing w:after="0" w:line="240" w:lineRule="auto"/>
        <w:rPr>
          <w:rFonts w:ascii="Times New Roman" w:eastAsia="Times New Roman" w:hAnsi="Times New Roman" w:cs="Times New Roman"/>
          <w:color w:val="000000"/>
          <w:sz w:val="24"/>
          <w:szCs w:val="24"/>
          <w:lang w:eastAsia="it-IT"/>
        </w:rPr>
      </w:pPr>
      <w:r w:rsidRPr="00BE539D">
        <w:rPr>
          <w:rFonts w:ascii="Arial" w:eastAsia="Times New Roman" w:hAnsi="Arial" w:cs="Arial"/>
          <w:color w:val="000000"/>
          <w:sz w:val="21"/>
          <w:szCs w:val="21"/>
          <w:lang w:eastAsia="it-IT"/>
        </w:rPr>
        <w:br/>
      </w:r>
      <w:r w:rsidRPr="00BE539D">
        <w:rPr>
          <w:rFonts w:ascii="Times New Roman" w:eastAsia="Times New Roman" w:hAnsi="Times New Roman" w:cs="Times New Roman"/>
          <w:color w:val="000000"/>
          <w:sz w:val="24"/>
          <w:szCs w:val="24"/>
          <w:lang w:eastAsia="it-IT"/>
        </w:rPr>
        <w:t>ha pronunciato la seguente</w:t>
      </w:r>
    </w:p>
    <w:p w:rsidR="00BE539D" w:rsidRPr="00BE539D" w:rsidRDefault="00BE539D" w:rsidP="00BE539D">
      <w:pPr>
        <w:shd w:val="clear" w:color="auto" w:fill="FFFFFF"/>
        <w:spacing w:after="170" w:line="240" w:lineRule="auto"/>
        <w:jc w:val="center"/>
        <w:textAlignment w:val="baseline"/>
        <w:rPr>
          <w:rFonts w:ascii="Times New Roman" w:eastAsia="Times New Roman" w:hAnsi="Times New Roman" w:cs="Times New Roman"/>
          <w:caps/>
          <w:color w:val="000000"/>
          <w:sz w:val="24"/>
          <w:szCs w:val="24"/>
          <w:lang w:eastAsia="it-IT"/>
        </w:rPr>
      </w:pPr>
      <w:r w:rsidRPr="00BE539D">
        <w:rPr>
          <w:rFonts w:ascii="Times New Roman" w:eastAsia="Times New Roman" w:hAnsi="Times New Roman" w:cs="Times New Roman"/>
          <w:caps/>
          <w:color w:val="000000"/>
          <w:sz w:val="24"/>
          <w:szCs w:val="24"/>
          <w:lang w:eastAsia="it-IT"/>
        </w:rPr>
        <w:t>SENTENZA</w:t>
      </w:r>
    </w:p>
    <w:p w:rsidR="00BE539D" w:rsidRPr="00BE539D" w:rsidRDefault="00BE539D" w:rsidP="00BE539D">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BE539D">
        <w:rPr>
          <w:rFonts w:ascii="Times New Roman" w:eastAsia="Times New Roman" w:hAnsi="Times New Roman" w:cs="Times New Roman"/>
          <w:color w:val="000000"/>
          <w:sz w:val="24"/>
          <w:szCs w:val="24"/>
          <w:lang w:eastAsia="it-IT"/>
        </w:rPr>
        <w:t xml:space="preserve">nel giudizio di legittimità costituzionale degli artt. 17 e 22 del codice penale, promosso con ordinanza emessa il 2 dicembre 1993 dal Tribunale per i minorenni delle Marche nel procedimento penale a carico di </w:t>
      </w:r>
      <w:proofErr w:type="spellStart"/>
      <w:r w:rsidRPr="00BE539D">
        <w:rPr>
          <w:rFonts w:ascii="Times New Roman" w:eastAsia="Times New Roman" w:hAnsi="Times New Roman" w:cs="Times New Roman"/>
          <w:color w:val="000000"/>
          <w:sz w:val="24"/>
          <w:szCs w:val="24"/>
          <w:lang w:eastAsia="it-IT"/>
        </w:rPr>
        <w:t>Potenziani</w:t>
      </w:r>
      <w:proofErr w:type="spellEnd"/>
      <w:r w:rsidRPr="00BE539D">
        <w:rPr>
          <w:rFonts w:ascii="Times New Roman" w:eastAsia="Times New Roman" w:hAnsi="Times New Roman" w:cs="Times New Roman"/>
          <w:color w:val="000000"/>
          <w:sz w:val="24"/>
          <w:szCs w:val="24"/>
          <w:lang w:eastAsia="it-IT"/>
        </w:rPr>
        <w:t xml:space="preserve"> Giulio, iscritta al n. 797 del registro ordinanze 1993 e pubblicata nella Gazzetta Ufficiale della Repubblica n. 4, prima serie speciale, dell'anno 1994;</w:t>
      </w:r>
    </w:p>
    <w:p w:rsidR="00BE539D" w:rsidRPr="00BE539D" w:rsidRDefault="00BE539D" w:rsidP="00BE539D">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BE539D">
        <w:rPr>
          <w:rFonts w:ascii="Times New Roman" w:eastAsia="Times New Roman" w:hAnsi="Times New Roman" w:cs="Times New Roman"/>
          <w:color w:val="000000"/>
          <w:sz w:val="24"/>
          <w:szCs w:val="24"/>
          <w:lang w:eastAsia="it-IT"/>
        </w:rPr>
        <w:t>Visto l'atto di intervento del Presidente del Consiglio dei Ministri;</w:t>
      </w:r>
    </w:p>
    <w:p w:rsidR="00BE539D" w:rsidRPr="00BE539D" w:rsidRDefault="00BE539D" w:rsidP="00BE539D">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BE539D">
        <w:rPr>
          <w:rFonts w:ascii="Times New Roman" w:eastAsia="Times New Roman" w:hAnsi="Times New Roman" w:cs="Times New Roman"/>
          <w:color w:val="000000"/>
          <w:sz w:val="24"/>
          <w:szCs w:val="24"/>
          <w:lang w:eastAsia="it-IT"/>
        </w:rPr>
        <w:t>Udito nell'udienza pubblica del 12 aprile 1994 il Giudice relatore Vincenzo Caianiello;</w:t>
      </w:r>
    </w:p>
    <w:p w:rsidR="00BE539D" w:rsidRPr="00BE539D" w:rsidRDefault="00BE539D" w:rsidP="00BE539D">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BE539D">
        <w:rPr>
          <w:rFonts w:ascii="Times New Roman" w:eastAsia="Times New Roman" w:hAnsi="Times New Roman" w:cs="Times New Roman"/>
          <w:color w:val="000000"/>
          <w:sz w:val="24"/>
          <w:szCs w:val="24"/>
          <w:lang w:eastAsia="it-IT"/>
        </w:rPr>
        <w:t xml:space="preserve">Udito l'Avvocato dello Stato Stefano </w:t>
      </w:r>
      <w:proofErr w:type="spellStart"/>
      <w:r w:rsidRPr="00BE539D">
        <w:rPr>
          <w:rFonts w:ascii="Times New Roman" w:eastAsia="Times New Roman" w:hAnsi="Times New Roman" w:cs="Times New Roman"/>
          <w:color w:val="000000"/>
          <w:sz w:val="24"/>
          <w:szCs w:val="24"/>
          <w:lang w:eastAsia="it-IT"/>
        </w:rPr>
        <w:t>Onufrio</w:t>
      </w:r>
      <w:proofErr w:type="spellEnd"/>
      <w:r w:rsidRPr="00BE539D">
        <w:rPr>
          <w:rFonts w:ascii="Times New Roman" w:eastAsia="Times New Roman" w:hAnsi="Times New Roman" w:cs="Times New Roman"/>
          <w:color w:val="000000"/>
          <w:sz w:val="24"/>
          <w:szCs w:val="24"/>
          <w:lang w:eastAsia="it-IT"/>
        </w:rPr>
        <w:t xml:space="preserve"> per il Presidente del Consiglio dei Ministri;</w:t>
      </w:r>
    </w:p>
    <w:p w:rsidR="00BE539D" w:rsidRPr="002A0E7D" w:rsidRDefault="00BE539D" w:rsidP="002A0E7D">
      <w:pPr>
        <w:spacing w:after="0" w:line="240" w:lineRule="auto"/>
        <w:rPr>
          <w:rFonts w:ascii="Times New Roman" w:eastAsia="Times New Roman" w:hAnsi="Times New Roman" w:cs="Times New Roman"/>
          <w:color w:val="000000"/>
          <w:sz w:val="24"/>
          <w:szCs w:val="24"/>
          <w:lang w:eastAsia="it-IT"/>
        </w:rPr>
      </w:pPr>
      <w:r w:rsidRPr="00BE539D">
        <w:rPr>
          <w:rFonts w:ascii="Arial" w:eastAsia="Times New Roman" w:hAnsi="Arial" w:cs="Arial"/>
          <w:color w:val="000000"/>
          <w:sz w:val="21"/>
          <w:szCs w:val="21"/>
          <w:lang w:eastAsia="it-IT"/>
        </w:rPr>
        <w:br/>
      </w:r>
      <w:bookmarkStart w:id="0" w:name="fatto"/>
      <w:bookmarkEnd w:id="0"/>
      <w:r w:rsidR="002A0E7D">
        <w:rPr>
          <w:rFonts w:ascii="Times New Roman" w:eastAsia="Times New Roman" w:hAnsi="Times New Roman" w:cs="Times New Roman"/>
          <w:iCs/>
          <w:color w:val="000000"/>
          <w:sz w:val="24"/>
          <w:szCs w:val="24"/>
          <w:lang w:eastAsia="it-IT"/>
        </w:rPr>
        <w:t>(</w:t>
      </w:r>
      <w:r w:rsidR="002A0E7D">
        <w:rPr>
          <w:rFonts w:ascii="Times New Roman" w:eastAsia="Times New Roman" w:hAnsi="Times New Roman" w:cs="Times New Roman"/>
          <w:i/>
          <w:iCs/>
          <w:color w:val="000000"/>
          <w:sz w:val="24"/>
          <w:szCs w:val="24"/>
          <w:lang w:eastAsia="it-IT"/>
        </w:rPr>
        <w:t>Omissis</w:t>
      </w:r>
      <w:r w:rsidR="002A0E7D">
        <w:rPr>
          <w:rFonts w:ascii="Times New Roman" w:eastAsia="Times New Roman" w:hAnsi="Times New Roman" w:cs="Times New Roman"/>
          <w:iCs/>
          <w:color w:val="000000"/>
          <w:sz w:val="24"/>
          <w:szCs w:val="24"/>
          <w:lang w:eastAsia="it-IT"/>
        </w:rPr>
        <w:t>)</w:t>
      </w:r>
    </w:p>
    <w:p w:rsidR="00BE539D" w:rsidRPr="00BE539D" w:rsidRDefault="00BE539D" w:rsidP="00BE539D">
      <w:pPr>
        <w:spacing w:after="0" w:line="240" w:lineRule="auto"/>
        <w:jc w:val="center"/>
        <w:rPr>
          <w:rFonts w:ascii="Times New Roman" w:eastAsia="Times New Roman" w:hAnsi="Times New Roman" w:cs="Times New Roman"/>
          <w:i/>
          <w:iCs/>
          <w:color w:val="000000"/>
          <w:sz w:val="24"/>
          <w:szCs w:val="24"/>
          <w:lang w:eastAsia="it-IT"/>
        </w:rPr>
      </w:pPr>
      <w:r w:rsidRPr="00BE539D">
        <w:rPr>
          <w:rFonts w:ascii="Arial" w:eastAsia="Times New Roman" w:hAnsi="Arial" w:cs="Arial"/>
          <w:color w:val="000000"/>
          <w:sz w:val="21"/>
          <w:szCs w:val="21"/>
          <w:lang w:eastAsia="it-IT"/>
        </w:rPr>
        <w:br/>
      </w:r>
      <w:bookmarkStart w:id="1" w:name="diritto"/>
      <w:bookmarkEnd w:id="1"/>
      <w:r w:rsidRPr="00BE539D">
        <w:rPr>
          <w:rFonts w:ascii="Times New Roman" w:eastAsia="Times New Roman" w:hAnsi="Times New Roman" w:cs="Times New Roman"/>
          <w:i/>
          <w:iCs/>
          <w:color w:val="000000"/>
          <w:sz w:val="24"/>
          <w:szCs w:val="24"/>
          <w:lang w:eastAsia="it-IT"/>
        </w:rPr>
        <w:t>Considerato in diritto</w:t>
      </w:r>
    </w:p>
    <w:p w:rsidR="00BE539D" w:rsidRPr="00BE539D" w:rsidRDefault="00BE539D" w:rsidP="00BE539D">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BE539D">
        <w:rPr>
          <w:rFonts w:ascii="Times New Roman" w:eastAsia="Times New Roman" w:hAnsi="Times New Roman" w:cs="Times New Roman"/>
          <w:color w:val="000000"/>
          <w:sz w:val="24"/>
          <w:szCs w:val="24"/>
          <w:lang w:eastAsia="it-IT"/>
        </w:rPr>
        <w:t>1. - È stata sollevata questione di legittimità costituzionale degli artt. 17 e 22 del codice penale, nella parte in cui non escludono l'applicabilità della pena dell'ergastolo nei confronti del minore degli anni diciotto.</w:t>
      </w:r>
    </w:p>
    <w:p w:rsidR="00BE539D" w:rsidRPr="00BE539D" w:rsidRDefault="00BE539D" w:rsidP="00BE539D">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BE539D">
        <w:rPr>
          <w:rFonts w:ascii="Times New Roman" w:eastAsia="Times New Roman" w:hAnsi="Times New Roman" w:cs="Times New Roman"/>
          <w:color w:val="000000"/>
          <w:sz w:val="24"/>
          <w:szCs w:val="24"/>
          <w:lang w:eastAsia="it-IT"/>
        </w:rPr>
        <w:t>Secondo il giudice rimettente le norme impugnate contrasterebbero: a) con l'art. 10 della Costituzione, per non essersi l'ordinamento giuridico italiano "adeguato a numerose norme pattizie del diritto internazionale vigente in materia"; b) con l'art. 27, terzo comma, della Costituzione, per compromissione della finalità rieducativa della pena e del trattamento pedagogico e di risocializzazione, peculiare per il minore; c) con l'art. 31, secondo comma, della Costituzione, per violazione del precetto che impone la protezione dell'infanzia e della gioventù.</w:t>
      </w:r>
    </w:p>
    <w:p w:rsidR="00BE539D" w:rsidRPr="00BE539D" w:rsidRDefault="002A0E7D" w:rsidP="00BE539D">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xml:space="preserve">(Omissis) </w:t>
      </w:r>
      <w:r w:rsidR="00BE539D" w:rsidRPr="00BE539D">
        <w:rPr>
          <w:rFonts w:ascii="Times New Roman" w:eastAsia="Times New Roman" w:hAnsi="Times New Roman" w:cs="Times New Roman"/>
          <w:color w:val="000000"/>
          <w:sz w:val="24"/>
          <w:szCs w:val="24"/>
          <w:lang w:eastAsia="it-IT"/>
        </w:rPr>
        <w:t>L'ordinanza introduttiva del presente giudizio, come è già stato ricordato, ha per oggetto esclusivo gli artt. 17 e 22 del codice penale "nella parte in cui non prevedono l'esclusione dalla pena perpetua per l'imputato minorenne" per cui la specificità della pronuncia che viene richiesta non espone al rischio di effetti eccedenti il fine auspicato. Anche se, come si vedrà in prosieguo, la dichiarazione di incostituzionalità, in base ai poteri che competono alla Corte ex art. 27 della legge 11 marzo 1953, n. 87, sarà estesa in via consequenziale ad una delle norme che regolano il ricordato meccanismo, essa, proprio in virtù del suo carattere consequenziale rispetto a quella principale che riguarda la previsione dell'ergastolo per i minori, risulterà limitata a questo ambito.</w:t>
      </w:r>
    </w:p>
    <w:p w:rsidR="00BE539D" w:rsidRPr="00BE539D" w:rsidRDefault="00BE539D" w:rsidP="002A0E7D">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BE539D">
        <w:rPr>
          <w:rFonts w:ascii="Times New Roman" w:eastAsia="Times New Roman" w:hAnsi="Times New Roman" w:cs="Times New Roman"/>
          <w:color w:val="000000"/>
          <w:sz w:val="24"/>
          <w:szCs w:val="24"/>
          <w:lang w:eastAsia="it-IT"/>
        </w:rPr>
        <w:t>3. - Nel merito la questione, sollevata in riferimento all'art. 10, primo comma, della Costituzione, non può essere presa in considerazione per la genericità dell'assunto della non conformità della normativa denunciata "a numerose norme pattizie del diritto internazionale vigente in materia", non essendo individuabili dall'ordinanza di rinvio né le disposizioni né tantomeno i contenuti normativi ai quali il rimettente intende fare richiamo. D'altra parte, alla stregua della giurisprudenza di questa Corte (</w:t>
      </w:r>
      <w:proofErr w:type="spellStart"/>
      <w:r w:rsidRPr="00BE539D">
        <w:rPr>
          <w:rFonts w:ascii="Times New Roman" w:eastAsia="Times New Roman" w:hAnsi="Times New Roman" w:cs="Times New Roman"/>
          <w:color w:val="000000"/>
          <w:sz w:val="24"/>
          <w:szCs w:val="24"/>
          <w:lang w:eastAsia="it-IT"/>
        </w:rPr>
        <w:t>sentt</w:t>
      </w:r>
      <w:proofErr w:type="spellEnd"/>
      <w:r w:rsidRPr="00BE539D">
        <w:rPr>
          <w:rFonts w:ascii="Times New Roman" w:eastAsia="Times New Roman" w:hAnsi="Times New Roman" w:cs="Times New Roman"/>
          <w:color w:val="000000"/>
          <w:sz w:val="24"/>
          <w:szCs w:val="24"/>
          <w:lang w:eastAsia="it-IT"/>
        </w:rPr>
        <w:t xml:space="preserve">. n. 153 del 1987, n. 96 del 1982, n. 188 del 1980, n. 48 del 1979, n. 69 del 1976, n. 104 del 1969, n. 48 del 1967, n. 135 del 1963, n. 32 del 1960) che, con riguardo al parametro invocato, delinea l'adeguamento automatico alle norme di diritto internazionale generalmente riconosciute, in riferimento a principi generali ovvero a norme di carattere consuetudinario, è da rilevare che non è </w:t>
      </w:r>
      <w:r w:rsidRPr="00BE539D">
        <w:rPr>
          <w:rFonts w:ascii="Times New Roman" w:eastAsia="Times New Roman" w:hAnsi="Times New Roman" w:cs="Times New Roman"/>
          <w:color w:val="000000"/>
          <w:sz w:val="24"/>
          <w:szCs w:val="24"/>
          <w:lang w:eastAsia="it-IT"/>
        </w:rPr>
        <w:lastRenderedPageBreak/>
        <w:t>neppure possibile rinvenire nella materia un principio generale o una consuetudine, perché dal variegato panorama delle legislazioni degli altri Stati più affini a quella del nostro Paese non risulta l'esistenza di una di quelle "norme generalmente riconosciute", cui fa riferimento l'art. 10, primo comma, della Costituzione, tenuto conto della estrema diversità delle discipline che regolano il regime delle pene più gravi nei vari Paesi.</w:t>
      </w:r>
      <w:r w:rsidR="002A0E7D">
        <w:rPr>
          <w:rFonts w:ascii="Times New Roman" w:eastAsia="Times New Roman" w:hAnsi="Times New Roman" w:cs="Times New Roman"/>
          <w:color w:val="000000"/>
          <w:sz w:val="24"/>
          <w:szCs w:val="24"/>
          <w:lang w:eastAsia="it-IT"/>
        </w:rPr>
        <w:t xml:space="preserve"> </w:t>
      </w:r>
    </w:p>
    <w:p w:rsidR="00BE539D" w:rsidRPr="00BE539D" w:rsidRDefault="002A0E7D" w:rsidP="00BE539D">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2A0E7D">
        <w:rPr>
          <w:rFonts w:ascii="Times New Roman" w:eastAsia="Times New Roman" w:hAnsi="Times New Roman" w:cs="Times New Roman"/>
          <w:i/>
          <w:color w:val="000000"/>
          <w:sz w:val="24"/>
          <w:szCs w:val="24"/>
          <w:lang w:eastAsia="it-IT"/>
        </w:rPr>
        <w:t>(Omissis)</w:t>
      </w:r>
    </w:p>
    <w:p w:rsidR="00BE539D" w:rsidRPr="00BE539D" w:rsidRDefault="00BE539D" w:rsidP="00BE539D">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BE539D">
        <w:rPr>
          <w:rFonts w:ascii="Times New Roman" w:eastAsia="Times New Roman" w:hAnsi="Times New Roman" w:cs="Times New Roman"/>
          <w:color w:val="000000"/>
          <w:sz w:val="24"/>
          <w:szCs w:val="24"/>
          <w:lang w:eastAsia="it-IT"/>
        </w:rPr>
        <w:t>4. - Per quel che riguarda il riferimento all'art. 27, terzo comma, della Costituzione, l'argomento, riferito alla generalità dei soggetti, è stato già affrontato, in modo specifico, nella sentenza n. 264 del 1974, che ha ritenuto non fondata la prospettazione del contrasto tra l'ergastolo e il richiamato parametro, sul riflesso del carattere polifunzionale della pena. Un connotato, questo, ribadito anche di recente (sentenze n. 306/1993; n. 282/1989; n. 107/1980; n. 179/1973; n. 12/1966). Avuto riguardo al momento dinamico dell'applicazione della pena, il precetto costituzionale appare comunque soddisfatto dal legislatore che ha da tempo esteso all'ergastolano non solo l'istituto della liberazione condizionale - il cui governo, per effetto della sentenza di questa Corte n. 204 del 1974, è affidato alla competenza dell'autorità giudiziaria - che, come sottolineato dalla sentenza n. 264 del 1974 citata, consente l'effettivo reinserimento del condannato nel consorzio civile, ma anche altre misure premiali che anticipano quel reinserimento come effetto del suo sicuro ravvedimento, da comprovarsi dal giudice sulla base non solo della buona condotta tenuta dal condannato stesso durante l'esecuzione della pena bensì soprattutto dalla sua partecipazione all'opera rieducativa; una disciplina positiva, quella accennata, coerente con la necessità della verifica, in concreto, della saldatura di quella divaricazione tra la astratta finalità rieducativa e la relativa adesione del destinatario, che questa Corte ha già individuato essere alla base della qualificazione "tendenziale" della rieducazione.</w:t>
      </w:r>
    </w:p>
    <w:p w:rsidR="00BE539D" w:rsidRPr="00BE539D" w:rsidRDefault="00BE539D" w:rsidP="00BE539D">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BE539D">
        <w:rPr>
          <w:rFonts w:ascii="Times New Roman" w:eastAsia="Times New Roman" w:hAnsi="Times New Roman" w:cs="Times New Roman"/>
          <w:color w:val="000000"/>
          <w:sz w:val="24"/>
          <w:szCs w:val="24"/>
          <w:lang w:eastAsia="it-IT"/>
        </w:rPr>
        <w:t>D'altra parte la disciplina positiva specificamente riguardante i minori accentua la portata applicativa degli accennati istituti che si caratterizzano come concettualmente antagonisti rispetto alla perpetuità della pena: sia, in negativo, stabilendosi eccezioni a nuove e più rigorose previsioni limitatrici della fruibilità dei "benefici" di ordinamento penitenziario (decreto-legge 13 maggio 1991, n. 152, convertito dalla legge 12 luglio 1991, n. 203, il cui art. 4, comma 4, esclude appunto l'applicazione delle norme restrittive introdotte dal medesimo provvedimento nei riguardi dei condannati minorenni all'epoca del reato); sia, in positivo, scollegandosi l'applicazione della liberazione condizionale, per il minore, dai limiti minimi di espiazione di pena previsti in via generale dall'art. 176 del codice penale (art. 21 del regio decreto-legge 20 luglio 1934, n. 1404, che consente di ammettere il minore alla liberazione condizionale in qualunque momento dell'esecuzione e qualunque sia la durata della pena inflitta).</w:t>
      </w:r>
    </w:p>
    <w:p w:rsidR="00BE539D" w:rsidRPr="00BE539D" w:rsidRDefault="00BE539D" w:rsidP="00BE539D">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BE539D">
        <w:rPr>
          <w:rFonts w:ascii="Times New Roman" w:eastAsia="Times New Roman" w:hAnsi="Times New Roman" w:cs="Times New Roman"/>
          <w:color w:val="000000"/>
          <w:sz w:val="24"/>
          <w:szCs w:val="24"/>
          <w:lang w:eastAsia="it-IT"/>
        </w:rPr>
        <w:t>Tutti gli anzidetti correttivi finiscono con l'incidere sulla natura stessa della pena dell'ergastolo, che non è più quella concepita alle sue origini dal codice penale del 1930. La previsione astratta dell'ergastolo deve ormai essere inquadrata in quel tessuto normativo che progressivamente ha finito per togliere ogni significato al carattere della perpetuità che all'epoca dell'emanazione del codice la connotava. Ma una volta soddisfatto con detti correttivi il precetto costituzionale che assegna alla pena la funzione rieducativa, diviene esclusivo compito del legislatore di valutare, nelle scelte di politica criminale, se conservare o meno l'ergastolo tra le sanzioni punitive astrattamente previste.</w:t>
      </w:r>
    </w:p>
    <w:p w:rsidR="00BE539D" w:rsidRPr="00BE539D" w:rsidRDefault="00BE539D" w:rsidP="00BE539D">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BE539D">
        <w:rPr>
          <w:rFonts w:ascii="Times New Roman" w:eastAsia="Times New Roman" w:hAnsi="Times New Roman" w:cs="Times New Roman"/>
          <w:color w:val="000000"/>
          <w:sz w:val="24"/>
          <w:szCs w:val="24"/>
          <w:lang w:eastAsia="it-IT"/>
        </w:rPr>
        <w:t>5.1. - La questione è invece fondata in riferimento all'art. 31 in relazione all'art. 27, terzo comma, della Costituzione.</w:t>
      </w:r>
    </w:p>
    <w:p w:rsidR="00BE539D" w:rsidRPr="00BE539D" w:rsidRDefault="00BE539D" w:rsidP="00BE539D">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BE539D">
        <w:rPr>
          <w:rFonts w:ascii="Times New Roman" w:eastAsia="Times New Roman" w:hAnsi="Times New Roman" w:cs="Times New Roman"/>
          <w:color w:val="000000"/>
          <w:sz w:val="24"/>
          <w:szCs w:val="24"/>
          <w:lang w:eastAsia="it-IT"/>
        </w:rPr>
        <w:t xml:space="preserve">Se l'art. 27, terzo comma, non espone di per sé a censura di incostituzionalità la previsione della pena dell'ergastolo ed il relativo carattere della perpetuità ai sensi degli artt. 17 e 22 del codice penale, di esso deve darsi una lettura diversa allorché lo si colleghi con l'art. 31 della Costituzione che impone una incisiva diversificazione, rispetto al sistema punitivo generale, del trattamento penalistico dei minorenni. Dall'art. 31 della Costituzione, che prevede una speciale protezione per l'infanzia e la gioventù e favorisce gli istituti necessari a tale scopo, deriva l'incompatibilità della previsione dell'ergastolo per gli </w:t>
      </w:r>
      <w:proofErr w:type="spellStart"/>
      <w:r w:rsidRPr="00BE539D">
        <w:rPr>
          <w:rFonts w:ascii="Times New Roman" w:eastAsia="Times New Roman" w:hAnsi="Times New Roman" w:cs="Times New Roman"/>
          <w:color w:val="000000"/>
          <w:sz w:val="24"/>
          <w:szCs w:val="24"/>
          <w:lang w:eastAsia="it-IT"/>
        </w:rPr>
        <w:t>infradiciottenni</w:t>
      </w:r>
      <w:proofErr w:type="spellEnd"/>
      <w:r w:rsidRPr="00BE539D">
        <w:rPr>
          <w:rFonts w:ascii="Times New Roman" w:eastAsia="Times New Roman" w:hAnsi="Times New Roman" w:cs="Times New Roman"/>
          <w:color w:val="000000"/>
          <w:sz w:val="24"/>
          <w:szCs w:val="24"/>
          <w:lang w:eastAsia="it-IT"/>
        </w:rPr>
        <w:t xml:space="preserve">, perché accomuna, per tale particolare istituto di indubbia gravità, nel medesimo contesto punitivo tutti i soggetti, senza tener conto della particolare condizione minorile. Quest'ultima condizione - come già sottolineato nella sentenza n. 140 del 1993, ove si </w:t>
      </w:r>
      <w:r w:rsidRPr="00BE539D">
        <w:rPr>
          <w:rFonts w:ascii="Times New Roman" w:eastAsia="Times New Roman" w:hAnsi="Times New Roman" w:cs="Times New Roman"/>
          <w:color w:val="000000"/>
          <w:sz w:val="24"/>
          <w:szCs w:val="24"/>
          <w:lang w:eastAsia="it-IT"/>
        </w:rPr>
        <w:lastRenderedPageBreak/>
        <w:t>auspicava un intervento del legislatore sul punto della comminatoria della pena dell'ergastolo anche per il minore - esige "di diversificare il più possibile il trattamento del minore dalla disciplina punitiva generale".</w:t>
      </w:r>
    </w:p>
    <w:p w:rsidR="00BE539D" w:rsidRPr="00BE539D" w:rsidRDefault="00BE539D" w:rsidP="00BE539D">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BE539D">
        <w:rPr>
          <w:rFonts w:ascii="Times New Roman" w:eastAsia="Times New Roman" w:hAnsi="Times New Roman" w:cs="Times New Roman"/>
          <w:color w:val="000000"/>
          <w:sz w:val="24"/>
          <w:szCs w:val="24"/>
          <w:lang w:eastAsia="it-IT"/>
        </w:rPr>
        <w:t>Ebbene, questa diversificazione, imposta dall'art. 31 della Costituzione, letto anche alla luce degli obblighi enunciati nelle ricordate convenzioni internazionali, le quali impegnano gli Stati nel senso della particolare protezione dei minorenni, fa assumere all'art. 27, terzo comma, della Costituzione, relativamente a questi ultimi, un significato distinto da quello che, come si è visto nel punto precedente, è riferibile alla generalità dei soggetti quanto alla funzione rieducativa della pena. Questa funzione - data la particolare attenzione che deve essere riservata, in ossequio all'art. 31 della Costituzione, ai problemi educativi dei giovani - per i soggetti minori di età è da considerarsi, se non esclusiva, certamente preminente, per cui si manifesta un insanabile contrasto fra essa e le norme denunciate - e cioè l'art. 17 del codice penale, che elenca fra le pene che accedono ai reati quella dell'ergastolo, e l'art. 22 del codice stesso che caratterizza questa pena con la perpetuità - riferendosi entrambi alla generalità dei soggetti, senza escludere i minori.</w:t>
      </w:r>
    </w:p>
    <w:p w:rsidR="00BE539D" w:rsidRPr="00BE539D" w:rsidRDefault="00BE539D" w:rsidP="00BE539D">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BE539D">
        <w:rPr>
          <w:rFonts w:ascii="Times New Roman" w:eastAsia="Times New Roman" w:hAnsi="Times New Roman" w:cs="Times New Roman"/>
          <w:color w:val="000000"/>
          <w:sz w:val="24"/>
          <w:szCs w:val="24"/>
          <w:lang w:eastAsia="it-IT"/>
        </w:rPr>
        <w:t>Né, rispetto al parametro in questione, possono risultare strumenti idonei - nel senso della compatibilità tra Costituzione ed ergastolo ai minori - quei pur peculiari istituti che si sono sopra ricordati (punto 4) e che ampliano, specie per i minori, le possibilità di accesso ai vari benefici che il corso dell'esecuzione della pena consente; se per un verso, infatti, detti istituti si iscrivono pur sempre in un tessuto normativo che rimane, in via generale, indifferenziato quanto all'età dell'autore del reato - e che è perciò urgente compito del legislatore riformulare, onde ricondurlo ad armonia con le esigenze di diversificazione e accentuata finalizzazione rieducativa: sentenza n. 125/1992 di questa Corte - per altro verso resta ferma l'incidenza di tali misure all'interno della vicenda dell'applicazione concreta della pena. Quest'ultima caratterizzazione, se è sufficiente ad escludere il contrasto con l'art. 27, terzo comma, della Costituzione in sé considerato, si rivela inadeguata una volta che si abbia riguardo alla prospettiva della spiccata protezione del minore quale espressa nell'art. 31, secondo comma, della Costituzione, principio la cui compresenza nell'ambito dei precetti costituzionali impone un mutamento di segno al principio rieducativo immanente alla pena, attribuendo a quest'ultima, proprio perché applicata nei confronti di un soggetto ancora in formazione e alla ricerca della propria identità, una connotazione educativa più che rieducativa, in funzione del suo inserimento maturo nel consorzio sociale. Gli artt. 17 e 22 del codice penale, non escludendo perciò il minore dalla previsione, sia pur astratta, dell'ergastolo, sono in contrasto con l'art. 31, secondo comma, in relazione all'art. 27, terzo comma, della Costituzione e di essi deve perciò essere dichiarata l'illegittimità costituzionale nella parte in cui non prevedono tale esclusione.</w:t>
      </w:r>
    </w:p>
    <w:p w:rsidR="00BE539D" w:rsidRPr="00BE539D" w:rsidRDefault="00BE539D" w:rsidP="00BE539D">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BE539D">
        <w:rPr>
          <w:rFonts w:ascii="Times New Roman" w:eastAsia="Times New Roman" w:hAnsi="Times New Roman" w:cs="Times New Roman"/>
          <w:color w:val="000000"/>
          <w:sz w:val="24"/>
          <w:szCs w:val="24"/>
          <w:lang w:eastAsia="it-IT"/>
        </w:rPr>
        <w:t xml:space="preserve">5.2. - L'idea che dalla previsione della pena dell'ergastolo dovessero essere esclusi i minori faceva già parte del nostro patrimonio legislativo, essendo l'esclusione espressamente sancita dal codice Zanardelli del 1889 che, sul portato di codici </w:t>
      </w:r>
      <w:proofErr w:type="spellStart"/>
      <w:r w:rsidRPr="00BE539D">
        <w:rPr>
          <w:rFonts w:ascii="Times New Roman" w:eastAsia="Times New Roman" w:hAnsi="Times New Roman" w:cs="Times New Roman"/>
          <w:color w:val="000000"/>
          <w:sz w:val="24"/>
          <w:szCs w:val="24"/>
          <w:lang w:eastAsia="it-IT"/>
        </w:rPr>
        <w:t>pre</w:t>
      </w:r>
      <w:proofErr w:type="spellEnd"/>
      <w:r w:rsidRPr="00BE539D">
        <w:rPr>
          <w:rFonts w:ascii="Times New Roman" w:eastAsia="Times New Roman" w:hAnsi="Times New Roman" w:cs="Times New Roman"/>
          <w:color w:val="000000"/>
          <w:sz w:val="24"/>
          <w:szCs w:val="24"/>
          <w:lang w:eastAsia="it-IT"/>
        </w:rPr>
        <w:t>-unitari, rimasti sostanzialmente in vita fino all'avvento di esso, prevedeva (sulla premessa della imputabilità piena a partire dai quattordici anni) all'art. 55, per gli imputati di età fra i quattordici ed i diciotto anni, la sostituzione di quella pena con la reclusione da dodici a venti anni, ed all'art. 56, per gli imputati di età fra i diciotto ed i ventuno anni, la sostituzione con la reclusione da venticinque a trent'anni.</w:t>
      </w:r>
    </w:p>
    <w:p w:rsidR="00BE539D" w:rsidRPr="00BE539D" w:rsidRDefault="00BE539D" w:rsidP="00BE539D">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BE539D">
        <w:rPr>
          <w:rFonts w:ascii="Times New Roman" w:eastAsia="Times New Roman" w:hAnsi="Times New Roman" w:cs="Times New Roman"/>
          <w:color w:val="000000"/>
          <w:sz w:val="24"/>
          <w:szCs w:val="24"/>
          <w:lang w:eastAsia="it-IT"/>
        </w:rPr>
        <w:t xml:space="preserve">Quanto al codice penale del 1930, come è noto, anteriormente alla riforma di cui al decreto-legge 11 aprile 1974, n. 99, convertito dalla legge 7 giugno 1974, n. 220, l'art. 69, dopo aver previsto, nel caso di concorso fra circostanze aggravanti ed attenuanti, la possibilità di attribuire prevalenza alle une escludendo così le altre e viceversa, o di ritenere la loro equivalenza con la conseguenza della contemporanea eliminazione delle une o delle altre, escludeva dall'applicazione di tali disposizioni le circostanze inerenti alla persona del colpevole, stabilendo che in tal caso gli aumenti e le diminuzioni di pena si operassero a norma dell'art. 63 dello stesso codice. L'esclusione delle circostanze inerenti alla persona del colpevole dal giudizio di comparazione rendeva così sempre applicabile la circostanza di cui all'art. 98 del codice penale, il quale prevede che, qualunque sia la pena prevista per il reato, essa per il minore degli anni diciotto è diminuita. Ciò comportava necessariamente che, pur in presenza di circostanze aggravanti, nei confronti del minore la pena dovesse essere comunque </w:t>
      </w:r>
      <w:r w:rsidRPr="00BE539D">
        <w:rPr>
          <w:rFonts w:ascii="Times New Roman" w:eastAsia="Times New Roman" w:hAnsi="Times New Roman" w:cs="Times New Roman"/>
          <w:color w:val="000000"/>
          <w:sz w:val="24"/>
          <w:szCs w:val="24"/>
          <w:lang w:eastAsia="it-IT"/>
        </w:rPr>
        <w:lastRenderedPageBreak/>
        <w:t>diminuita, nella misura stabilita dalla disposizione speciale o, in difetto, secondo il disposto del n. 2) dell'art. 65 citato, rendendosi in questo modo inapplicabile la pena dell'ergastolo, salvo il caso che sarà successivamente esaminato in relazione all'art. 73. Con la già ricordata riforma dell'art. 69 del codice penale, introdotta dall'art. 7 del richiamato decreto-legge n. 99 del 1974 convertito dalla legge n. 220 del 1974, riforma ispirata peraltro da un intento di maggior favore per il reo, il giudizio di prevalenza o di equivalenza fra le due categorie di circostanze è stato esteso anche a quelle inerenti alla persona del colpevole, tra le quali la giurisprudenza ha sempre compreso la diminuente della minore età, per consentire, fra l'altro, specie per i reati contro il patrimonio, la possibilità di far ritenere prevalente l'attenuante della minore età ed escludere, quando essa ricorresse, tutte le aggravanti. Da questa modifica - pur dettata da un intento di adeguatezza in concreto della pena, rispetto alle rigidità (in eccesso) che si erano verificate con particolare riguardo alla parallela esclusione dal giudizio di bilanciamento delle circostanze aggravanti che determinano la pena in modo indipendente da quella ordinaria del reato o che stabiliscono una pena di specie diversa - è però derivata una conseguenza deteriore. Una conseguenza forse non voluta (perché gli ideatori della riforma non se l'erano probabilmente prefigurata) ravvisabile nel caso - verificatosi proprio nel giudizio a quo - del minore, imputato di un reato punibile con l'ergastolo, a causa della presenza di circostanze aggravanti che comportano la pena dell'ergastolo e che possono essere ritenute prevalenti e quindi tali, ai sensi dell'art. 69 del codice penale, come risultante delle modifiche del 1974, da escludere l'incidenza della attenuante dell'art. 98 del codice penale, che viceversa in precedenza sarebbe stata comunque applicabile, escludendo così la possibilità di irrogazione di detta pena nei confronti del minore. È altresì da rilevare che, come era anche prima della cennata riforma del 1974, la previsione dell'ergastolo per il minore sussiste anche quale effetto dell'applicazione dell'art. 73 del codice penale che, al secondo comma, stabilisce in via generale (e quindi senza escludere il minore) che, "quando concorrono più delitti per ciascuno dei quali deve infliggersi la pena della reclusione non inferiore a ventiquattro anni si applica l'ergastolo".</w:t>
      </w:r>
    </w:p>
    <w:p w:rsidR="00BE539D" w:rsidRPr="00BE539D" w:rsidRDefault="00BE539D" w:rsidP="00BE539D">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BE539D">
        <w:rPr>
          <w:rFonts w:ascii="Times New Roman" w:eastAsia="Times New Roman" w:hAnsi="Times New Roman" w:cs="Times New Roman"/>
          <w:color w:val="000000"/>
          <w:sz w:val="24"/>
          <w:szCs w:val="24"/>
          <w:lang w:eastAsia="it-IT"/>
        </w:rPr>
        <w:t>6. - Consequenzialmente alla declaratoria principale di incostituzionalità, deve dunque essere dichiarata, in forza dell'art. 27 della legge 11 marzo 1953, n. 87, l'illegittimità costituzionale parziale di dette altre norme del codice penale, onde apportarvi i necessari adattamenti idonei ad impedire che la dichiarazione di incostituzionalità, nei sensi anzidetti, degli artt. 17 e 22 del codice penale risulti inoperante, atteso il nesso inscindibile che, come si è visto, intercorre tra le disposizioni in argomento ai fini della determinazione della pena applicabile al minorenne. Il carattere consequenziale della dichiarazione di incostituzionalità che investe l'art. 69 del codice penale, va ad incidere così sul meccanismo della comparazione delle circostanze ai limitati effetti di quella principale cui è esclusivamente finalizzata e non può dar luogo, come si è già rilevato in premessa, a quegli effetti eccedenti le finalità del quesito rilevati nella sentenza n. 140/1993.</w:t>
      </w:r>
    </w:p>
    <w:p w:rsidR="00BE539D" w:rsidRPr="00BE539D" w:rsidRDefault="00BE539D" w:rsidP="00BE539D">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BE539D">
        <w:rPr>
          <w:rFonts w:ascii="Times New Roman" w:eastAsia="Times New Roman" w:hAnsi="Times New Roman" w:cs="Times New Roman"/>
          <w:color w:val="000000"/>
          <w:sz w:val="24"/>
          <w:szCs w:val="24"/>
          <w:lang w:eastAsia="it-IT"/>
        </w:rPr>
        <w:t xml:space="preserve">L'art. 69 del codice penale, come si è rilevato nell'illustrazione dei meccanismi in esso previsti per il caso di concorso di circostanze eterogenee, determina la possibilità dell'applicazione della pena dell'ergastolo anche per il minore, sia qualora il giudizio di comparazione risulti nel senso della prevalenza delle aggravanti che comportano la pena perpetua (come è il caso del giudizio a quo), sia nell'ulteriore ipotesi di giudizio di prevalenza o anche solo di equivalenza fra attenuanti </w:t>
      </w:r>
      <w:proofErr w:type="spellStart"/>
      <w:r w:rsidRPr="00BE539D">
        <w:rPr>
          <w:rFonts w:ascii="Times New Roman" w:eastAsia="Times New Roman" w:hAnsi="Times New Roman" w:cs="Times New Roman"/>
          <w:color w:val="000000"/>
          <w:sz w:val="24"/>
          <w:szCs w:val="24"/>
          <w:lang w:eastAsia="it-IT"/>
        </w:rPr>
        <w:t>ed</w:t>
      </w:r>
      <w:proofErr w:type="spellEnd"/>
      <w:r w:rsidRPr="00BE539D">
        <w:rPr>
          <w:rFonts w:ascii="Times New Roman" w:eastAsia="Times New Roman" w:hAnsi="Times New Roman" w:cs="Times New Roman"/>
          <w:color w:val="000000"/>
          <w:sz w:val="24"/>
          <w:szCs w:val="24"/>
          <w:lang w:eastAsia="it-IT"/>
        </w:rPr>
        <w:t xml:space="preserve"> aggravanti, nel caso di reato punibile con la pena-base dell'ergastolo, con una situazione in entrambi i casi ostativa rispetto alla possibilità di applicazione al minore della attenuante prevista dall'art. 98 del codice penale. La consequenziale pronuncia di illegittimità costituzionale ex art. 27 della legge 11 marzo 1953, n. 87, dell'art. 69 del codice penale citato consente invece di applicare, anche nei casi anzidetti, la diminuente suddetta.</w:t>
      </w:r>
    </w:p>
    <w:p w:rsidR="00BE539D" w:rsidRPr="00BE539D" w:rsidRDefault="00BE539D" w:rsidP="00BE539D">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BE539D">
        <w:rPr>
          <w:rFonts w:ascii="Times New Roman" w:eastAsia="Times New Roman" w:hAnsi="Times New Roman" w:cs="Times New Roman"/>
          <w:color w:val="000000"/>
          <w:sz w:val="24"/>
          <w:szCs w:val="24"/>
          <w:lang w:eastAsia="it-IT"/>
        </w:rPr>
        <w:t xml:space="preserve">La declaratoria consequenziale non può che operare, pertanto, espungendo dal sistema la "parte" incostituzionale di detta disciplina, attraverso l'esclusione dell'applicazione delle disposizioni sul giudizio di bilanciamento con riguardo - e limitatamente - alle due situazioni che si sono sopra dette. Non sarebbe viceversa soluzione coerente né con i limiti della pronuncia ex art. 27 della legge n. 87 del 1953 né più in generale con l'esigenza di proporzione tra fatto-reato e pena una pronuncia che giungesse ad affermare la prevalenza della circostanza prevista dall'art. 98 del codice penale nei casi </w:t>
      </w:r>
      <w:r w:rsidRPr="00BE539D">
        <w:rPr>
          <w:rFonts w:ascii="Times New Roman" w:eastAsia="Times New Roman" w:hAnsi="Times New Roman" w:cs="Times New Roman"/>
          <w:color w:val="000000"/>
          <w:sz w:val="24"/>
          <w:szCs w:val="24"/>
          <w:lang w:eastAsia="it-IT"/>
        </w:rPr>
        <w:lastRenderedPageBreak/>
        <w:t>in cui è in gioco la possibilità astratta di applicazione della pena dell'ergastolo al minore, giacché una simile statuizione apporterebbe uno squilibrio contrario, elidendo il peso e il significato di elementi accidentali del reato che devono viceversa trovare riflesso nel concreto dosaggio della pena, in base appunto alla regola ex art. 63 del codice penale.</w:t>
      </w:r>
    </w:p>
    <w:p w:rsidR="00BE539D" w:rsidRPr="00BE539D" w:rsidRDefault="00BE539D" w:rsidP="00BE539D">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BE539D">
        <w:rPr>
          <w:rFonts w:ascii="Times New Roman" w:eastAsia="Times New Roman" w:hAnsi="Times New Roman" w:cs="Times New Roman"/>
          <w:color w:val="000000"/>
          <w:sz w:val="24"/>
          <w:szCs w:val="24"/>
          <w:lang w:eastAsia="it-IT"/>
        </w:rPr>
        <w:t>7. - Per rendere la dichiarazione principale di incostituzionalità pienamente operante è altresì necessario dichiarare l'illegittimità in via consequenziale anche dell'art. 73, secondo comma, del codice penale, data la contrarietà a Costituzione del meccanismo sostitutivo ivi previsto, nel caso di imputato o condannato minorenne.</w:t>
      </w:r>
    </w:p>
    <w:p w:rsidR="00BE539D" w:rsidRPr="00BE539D" w:rsidRDefault="00BE539D" w:rsidP="00BE539D">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BE539D">
        <w:rPr>
          <w:rFonts w:ascii="Times New Roman" w:eastAsia="Times New Roman" w:hAnsi="Times New Roman" w:cs="Times New Roman"/>
          <w:color w:val="000000"/>
          <w:sz w:val="24"/>
          <w:szCs w:val="24"/>
          <w:lang w:eastAsia="it-IT"/>
        </w:rPr>
        <w:t>Resta ovviamente affidato al giudice penale, a seguito della dichiarazione di incostituzionalità consequenziale dell'art. 73 citato, di determinare la pena sostitutiva da applicarsi in luogo dell'ergastolo, nel caso - estraneo al giudizio a quo - in cui si sia in presenza del concorso di più delitti, commessi dal minore, per ciascuno dei quali deve infliggersi la pena della reclusione non inferiore a ventiquattro anni.</w:t>
      </w:r>
    </w:p>
    <w:p w:rsidR="00BE539D" w:rsidRPr="00BE539D" w:rsidRDefault="00BE539D" w:rsidP="00BE539D">
      <w:pPr>
        <w:shd w:val="clear" w:color="auto" w:fill="FFFFFF"/>
        <w:spacing w:before="567" w:after="0" w:line="240" w:lineRule="auto"/>
        <w:jc w:val="center"/>
        <w:textAlignment w:val="baseline"/>
        <w:rPr>
          <w:rFonts w:ascii="Times New Roman" w:eastAsia="Times New Roman" w:hAnsi="Times New Roman" w:cs="Times New Roman"/>
          <w:smallCaps/>
          <w:color w:val="000000"/>
          <w:sz w:val="20"/>
          <w:szCs w:val="20"/>
          <w:lang w:eastAsia="it-IT"/>
        </w:rPr>
      </w:pPr>
      <w:bookmarkStart w:id="2" w:name="_GoBack"/>
      <w:bookmarkEnd w:id="2"/>
      <w:r w:rsidRPr="00BE539D">
        <w:rPr>
          <w:rFonts w:ascii="Times New Roman" w:eastAsia="Times New Roman" w:hAnsi="Times New Roman" w:cs="Times New Roman"/>
          <w:smallCaps/>
          <w:color w:val="000000"/>
          <w:sz w:val="20"/>
          <w:szCs w:val="20"/>
          <w:lang w:eastAsia="it-IT"/>
        </w:rPr>
        <w:t>Per Questi Motivi</w:t>
      </w:r>
    </w:p>
    <w:p w:rsidR="00BE539D" w:rsidRPr="00BE539D" w:rsidRDefault="00BE539D" w:rsidP="00BE539D">
      <w:pPr>
        <w:shd w:val="clear" w:color="auto" w:fill="FFFFFF"/>
        <w:spacing w:before="170" w:after="284" w:line="240" w:lineRule="auto"/>
        <w:jc w:val="center"/>
        <w:textAlignment w:val="baseline"/>
        <w:rPr>
          <w:rFonts w:ascii="Times New Roman" w:eastAsia="Times New Roman" w:hAnsi="Times New Roman" w:cs="Times New Roman"/>
          <w:caps/>
          <w:color w:val="000000"/>
          <w:sz w:val="28"/>
          <w:szCs w:val="28"/>
          <w:lang w:eastAsia="it-IT"/>
        </w:rPr>
      </w:pPr>
      <w:r w:rsidRPr="00BE539D">
        <w:rPr>
          <w:rFonts w:ascii="Times New Roman" w:eastAsia="Times New Roman" w:hAnsi="Times New Roman" w:cs="Times New Roman"/>
          <w:caps/>
          <w:color w:val="000000"/>
          <w:sz w:val="28"/>
          <w:szCs w:val="28"/>
          <w:lang w:eastAsia="it-IT"/>
        </w:rPr>
        <w:t>LA CORTE COSTITUZIONALE</w:t>
      </w:r>
    </w:p>
    <w:p w:rsidR="00BE539D" w:rsidRPr="00BE539D" w:rsidRDefault="00BE539D" w:rsidP="00BE539D">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BE539D">
        <w:rPr>
          <w:rFonts w:ascii="inherit" w:eastAsia="Times New Roman" w:hAnsi="inherit" w:cs="Times New Roman"/>
          <w:i/>
          <w:iCs/>
          <w:color w:val="000000"/>
          <w:sz w:val="24"/>
          <w:szCs w:val="24"/>
          <w:bdr w:val="none" w:sz="0" w:space="0" w:color="auto" w:frame="1"/>
          <w:lang w:eastAsia="it-IT"/>
        </w:rPr>
        <w:t>Dichiara</w:t>
      </w:r>
      <w:r w:rsidRPr="00BE539D">
        <w:rPr>
          <w:rFonts w:ascii="Times New Roman" w:eastAsia="Times New Roman" w:hAnsi="Times New Roman" w:cs="Times New Roman"/>
          <w:color w:val="000000"/>
          <w:sz w:val="24"/>
          <w:szCs w:val="24"/>
          <w:lang w:eastAsia="it-IT"/>
        </w:rPr>
        <w:t> l'illegittimità costituzionale degli artt. 17 e 22 del codice penale nella parte in cui non escludono l'applicazione della pena dell'ergastolo al minore imputabile;</w:t>
      </w:r>
    </w:p>
    <w:p w:rsidR="00BE539D" w:rsidRPr="00BE539D" w:rsidRDefault="00BE539D" w:rsidP="00BE539D">
      <w:pPr>
        <w:shd w:val="clear" w:color="auto" w:fill="FFFFFF"/>
        <w:spacing w:after="113" w:line="240" w:lineRule="auto"/>
        <w:ind w:firstLine="397"/>
        <w:jc w:val="both"/>
        <w:textAlignment w:val="baseline"/>
        <w:rPr>
          <w:rFonts w:ascii="Times New Roman" w:eastAsia="Times New Roman" w:hAnsi="Times New Roman" w:cs="Times New Roman"/>
          <w:color w:val="000000"/>
          <w:sz w:val="24"/>
          <w:szCs w:val="24"/>
          <w:lang w:eastAsia="it-IT"/>
        </w:rPr>
      </w:pPr>
      <w:r w:rsidRPr="00BE539D">
        <w:rPr>
          <w:rFonts w:ascii="Times New Roman" w:eastAsia="Times New Roman" w:hAnsi="Times New Roman" w:cs="Times New Roman"/>
          <w:color w:val="000000"/>
          <w:sz w:val="24"/>
          <w:szCs w:val="24"/>
          <w:lang w:eastAsia="it-IT"/>
        </w:rPr>
        <w:t>Dichiara, in applicazione dell'art. 27 della legge 11 marzo 1953, n. 87:</w:t>
      </w:r>
    </w:p>
    <w:p w:rsidR="00BE539D" w:rsidRPr="00BE539D" w:rsidRDefault="00BE539D" w:rsidP="00BE539D">
      <w:pPr>
        <w:shd w:val="clear" w:color="auto" w:fill="FFFFFF"/>
        <w:spacing w:after="113" w:line="240" w:lineRule="auto"/>
        <w:ind w:firstLine="397"/>
        <w:jc w:val="both"/>
        <w:textAlignment w:val="baseline"/>
        <w:rPr>
          <w:rFonts w:ascii="Times New Roman" w:eastAsia="Times New Roman" w:hAnsi="Times New Roman" w:cs="Times New Roman"/>
          <w:color w:val="000000"/>
          <w:sz w:val="24"/>
          <w:szCs w:val="24"/>
          <w:lang w:eastAsia="it-IT"/>
        </w:rPr>
      </w:pPr>
      <w:r w:rsidRPr="00BE539D">
        <w:rPr>
          <w:rFonts w:ascii="Times New Roman" w:eastAsia="Times New Roman" w:hAnsi="Times New Roman" w:cs="Times New Roman"/>
          <w:color w:val="000000"/>
          <w:sz w:val="24"/>
          <w:szCs w:val="24"/>
          <w:lang w:eastAsia="it-IT"/>
        </w:rPr>
        <w:t>a) l'illegittimità costituzionale dell'art. 69, quarto comma, del codice penale, nella parte in cui prevede che nei confronti del minore imputabile sia applicabile la disposizione del primo comma dello stesso articolo 69 in caso di concorso tra la circostanza attenuante di cui all'art. 98 del codice penale e una o più circostanze aggravanti che comportano la pena dell'ergastolo, nonché nella parte in cui prevede che nei confronti del minore stesso siano applicabili le disposizioni del primo e del terzo comma del citato art. 69, in caso di concorso tra la circostanza attenuante di cui all'art. 98 del codice penale e una o più circostanze aggravanti che accedono ad un reato per il quale è prevista la pena base dell'ergastolo;</w:t>
      </w:r>
    </w:p>
    <w:p w:rsidR="00BE539D" w:rsidRPr="00BE539D" w:rsidRDefault="00BE539D" w:rsidP="00BE539D">
      <w:pPr>
        <w:shd w:val="clear" w:color="auto" w:fill="FFFFFF"/>
        <w:spacing w:after="113" w:line="240" w:lineRule="auto"/>
        <w:ind w:firstLine="397"/>
        <w:jc w:val="both"/>
        <w:textAlignment w:val="baseline"/>
        <w:rPr>
          <w:rFonts w:ascii="Times New Roman" w:eastAsia="Times New Roman" w:hAnsi="Times New Roman" w:cs="Times New Roman"/>
          <w:color w:val="000000"/>
          <w:sz w:val="24"/>
          <w:szCs w:val="24"/>
          <w:lang w:eastAsia="it-IT"/>
        </w:rPr>
      </w:pPr>
      <w:r w:rsidRPr="00BE539D">
        <w:rPr>
          <w:rFonts w:ascii="Times New Roman" w:eastAsia="Times New Roman" w:hAnsi="Times New Roman" w:cs="Times New Roman"/>
          <w:color w:val="000000"/>
          <w:sz w:val="24"/>
          <w:szCs w:val="24"/>
          <w:lang w:eastAsia="it-IT"/>
        </w:rPr>
        <w:t>b) l'illegittimità costituzionale dell'art. 73, secondo comma, del codice penale, nella parte in cui, in caso di concorso di più delitti commessi da minore imputabile, per ciascuno dei quali deve infliggersi la pena della reclusione non inferiore a ventiquattro anni, prevede la pena dell'ergastolo.</w:t>
      </w:r>
    </w:p>
    <w:p w:rsidR="00BE539D" w:rsidRPr="00BE539D" w:rsidRDefault="00BE539D" w:rsidP="00BE539D">
      <w:pPr>
        <w:shd w:val="clear" w:color="auto" w:fill="FFFFFF"/>
        <w:spacing w:after="113" w:line="240" w:lineRule="auto"/>
        <w:ind w:firstLine="397"/>
        <w:jc w:val="both"/>
        <w:textAlignment w:val="baseline"/>
        <w:rPr>
          <w:rFonts w:ascii="Times New Roman" w:eastAsia="Times New Roman" w:hAnsi="Times New Roman" w:cs="Times New Roman"/>
          <w:color w:val="000000"/>
          <w:sz w:val="24"/>
          <w:szCs w:val="24"/>
          <w:lang w:eastAsia="it-IT"/>
        </w:rPr>
      </w:pPr>
      <w:r w:rsidRPr="00BE539D">
        <w:rPr>
          <w:rFonts w:ascii="Times New Roman" w:eastAsia="Times New Roman" w:hAnsi="Times New Roman" w:cs="Times New Roman"/>
          <w:color w:val="000000"/>
          <w:sz w:val="24"/>
          <w:szCs w:val="24"/>
          <w:lang w:eastAsia="it-IT"/>
        </w:rPr>
        <w:t>Così deciso in Roma, nella sede della Corte costituzionale, Palazzo della Consulta, il 27 aprile 1994.</w:t>
      </w:r>
    </w:p>
    <w:p w:rsidR="00BE539D" w:rsidRDefault="00BE539D"/>
    <w:sectPr w:rsidR="00BE53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39D"/>
    <w:rsid w:val="00236E50"/>
    <w:rsid w:val="002A0E7D"/>
    <w:rsid w:val="00BE53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D5251"/>
  <w15:chartTrackingRefBased/>
  <w15:docId w15:val="{24C9E4D5-28EE-4A38-BDF0-ECD13C134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E539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323615">
      <w:bodyDiv w:val="1"/>
      <w:marLeft w:val="0"/>
      <w:marRight w:val="0"/>
      <w:marTop w:val="0"/>
      <w:marBottom w:val="0"/>
      <w:divBdr>
        <w:top w:val="none" w:sz="0" w:space="0" w:color="auto"/>
        <w:left w:val="none" w:sz="0" w:space="0" w:color="auto"/>
        <w:bottom w:val="none" w:sz="0" w:space="0" w:color="auto"/>
        <w:right w:val="none" w:sz="0" w:space="0" w:color="auto"/>
      </w:divBdr>
    </w:div>
    <w:div w:id="1174611447">
      <w:bodyDiv w:val="1"/>
      <w:marLeft w:val="0"/>
      <w:marRight w:val="0"/>
      <w:marTop w:val="0"/>
      <w:marBottom w:val="0"/>
      <w:divBdr>
        <w:top w:val="none" w:sz="0" w:space="0" w:color="auto"/>
        <w:left w:val="none" w:sz="0" w:space="0" w:color="auto"/>
        <w:bottom w:val="none" w:sz="0" w:space="0" w:color="auto"/>
        <w:right w:val="none" w:sz="0" w:space="0" w:color="auto"/>
      </w:divBdr>
    </w:div>
    <w:div w:id="211277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3137</Words>
  <Characters>17886</Characters>
  <Application>Microsoft Office Word</Application>
  <DocSecurity>0</DocSecurity>
  <Lines>149</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Pecorella</dc:creator>
  <cp:keywords/>
  <dc:description/>
  <cp:lastModifiedBy>Claudia Pecorella</cp:lastModifiedBy>
  <cp:revision>2</cp:revision>
  <cp:lastPrinted>2018-09-14T14:28:00Z</cp:lastPrinted>
  <dcterms:created xsi:type="dcterms:W3CDTF">2018-09-14T13:42:00Z</dcterms:created>
  <dcterms:modified xsi:type="dcterms:W3CDTF">2018-09-14T14:35:00Z</dcterms:modified>
</cp:coreProperties>
</file>